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460.10pt" w:type="dxa"/>
        <w:tblCellMar>
          <w:start w:w="0.50pt" w:type="dxa"/>
          <w:end w:w="0.50pt" w:type="dxa"/>
        </w:tblCellMar>
        <w:tblLook w:firstRow="1" w:lastRow="0" w:firstColumn="1" w:lastColumn="0" w:noHBand="0" w:noVBand="1"/>
      </w:tblPr>
      <w:tblGrid>
        <w:gridCol w:w="2390"/>
        <w:gridCol w:w="6812"/>
      </w:tblGrid>
      <w:tr w:rsidR="00D3572A">
        <w:tblPrEx>
          <w:tblCellMar>
            <w:top w:w="0pt" w:type="dxa"/>
            <w:bottom w:w="0pt" w:type="dxa"/>
          </w:tblCellMar>
        </w:tblPrEx>
        <w:trPr>
          <w:trHeight w:val="1971"/>
        </w:trPr>
        <w:tc>
          <w:tcPr>
            <w:tcW w:w="119.50pt" w:type="dxa"/>
            <w:shd w:val="clear" w:color="auto" w:fill="auto"/>
            <w:tcMar>
              <w:top w:w="0pt" w:type="dxa"/>
              <w:start w:w="1.40pt" w:type="dxa"/>
              <w:bottom w:w="0pt" w:type="dxa"/>
              <w:end w:w="1.40pt" w:type="dxa"/>
            </w:tcMar>
            <w:vAlign w:val="center"/>
          </w:tcPr>
          <w:p w:rsidR="00D3572A" w:rsidRDefault="00844DAF">
            <w:pPr>
              <w:jc w:val="center"/>
            </w:pPr>
            <w:r>
              <w:rPr>
                <w:rFonts w:ascii="標楷體" w:eastAsia="標楷體" w:hAnsi="標楷體"/>
                <w:noProof/>
                <w:sz w:val="28"/>
              </w:rPr>
              <w:drawing>
                <wp:inline distT="0" distB="0" distL="0" distR="0">
                  <wp:extent cx="1234440" cy="1226823"/>
                  <wp:effectExtent l="0" t="0" r="3810" b="0"/>
                  <wp:docPr id="2" name="圖片 1"/>
                  <wp:cNvGraphicFramePr/>
                  <a:graphic xmlns:a="http://purl.oclc.org/ooxml/drawingml/main">
                    <a:graphicData uri="http://purl.oclc.org/ooxml/drawingml/picture">
                      <pic:pic xmlns:pic="http://purl.oclc.org/ooxml/drawingml/picture">
                        <pic:nvPicPr>
                          <pic:cNvPr id="0" name=""/>
                          <pic:cNvPicPr/>
                        </pic:nvPicPr>
                        <pic:blipFill>
                          <a:blip r:embed="rId7"/>
                          <a:srcRect/>
                          <a:stretch>
                            <a:fillRect/>
                          </a:stretch>
                        </pic:blipFill>
                        <pic:spPr>
                          <a:xfrm>
                            <a:off x="0" y="0"/>
                            <a:ext cx="1234440" cy="1226823"/>
                          </a:xfrm>
                          <a:prstGeom prst="rect">
                            <a:avLst/>
                          </a:prstGeom>
                          <a:noFill/>
                          <a:ln>
                            <a:noFill/>
                            <a:prstDash/>
                          </a:ln>
                        </pic:spPr>
                      </pic:pic>
                    </a:graphicData>
                  </a:graphic>
                </wp:inline>
              </w:drawing>
            </w:r>
            <w:r>
              <w:rPr>
                <w:rFonts w:ascii="標楷體" w:eastAsia="標楷體" w:hAnsi="標楷體"/>
                <w:b/>
                <w:noProof/>
                <w:sz w:val="48"/>
                <w:szCs w:val="48"/>
              </w:rPr>
              <w:drawing>
                <wp:anchor distT="0" distB="0" distL="114300" distR="114300" simplePos="0" relativeHeight="251657728" behindDoc="0" locked="0" layoutInCell="1" allowOverlap="1">
                  <wp:simplePos x="0" y="0"/>
                  <wp:positionH relativeFrom="column">
                    <wp:posOffset>104771</wp:posOffset>
                  </wp:positionH>
                  <wp:positionV relativeFrom="paragraph">
                    <wp:posOffset>1482086</wp:posOffset>
                  </wp:positionV>
                  <wp:extent cx="5695954" cy="28575"/>
                  <wp:effectExtent l="19050" t="19050" r="19046" b="28575"/>
                  <wp:wrapNone/>
                  <wp:docPr id="3" name="Line 3"/>
                  <wp:cNvGraphicFramePr/>
                  <a:graphic xmlns:a="http://purl.oclc.org/ooxml/drawingml/main">
                    <a:graphicData uri="http://schemas.microsoft.com/office/word/2010/wordprocessingShape">
                      <wp:wsp>
                        <wp:cNvCnPr/>
                        <wp:spPr>
                          <a:xfrm flipV="1">
                            <a:off x="0" y="0"/>
                            <a:ext cx="5695954" cy="28575"/>
                          </a:xfrm>
                          <a:prstGeom prst="straightConnector1">
                            <a:avLst/>
                          </a:prstGeom>
                          <a:noFill/>
                          <a:ln w="28575" cap="flat">
                            <a:solidFill>
                              <a:srgbClr val="000000"/>
                            </a:solidFill>
                            <a:prstDash val="solid"/>
                            <a:round/>
                          </a:ln>
                        </wp:spPr>
                        <wp:bodyPr/>
                      </wp:wsp>
                    </a:graphicData>
                  </a:graphic>
                </wp:anchor>
              </w:drawing>
            </w:r>
            <w:r>
              <w:rPr>
                <w:rFonts w:ascii="標楷體" w:eastAsia="標楷體" w:hAnsi="標楷體"/>
              </w:rPr>
              <w:t xml:space="preserve">  </w:t>
            </w:r>
          </w:p>
        </w:tc>
        <w:tc>
          <w:tcPr>
            <w:tcW w:w="340.60pt" w:type="dxa"/>
            <w:shd w:val="clear" w:color="auto" w:fill="auto"/>
            <w:tcMar>
              <w:top w:w="0pt" w:type="dxa"/>
              <w:start w:w="1.40pt" w:type="dxa"/>
              <w:bottom w:w="0pt" w:type="dxa"/>
              <w:end w:w="1.40pt" w:type="dxa"/>
            </w:tcMar>
          </w:tcPr>
          <w:p w:rsidR="00D3572A" w:rsidRDefault="00844DAF">
            <w:pPr>
              <w:spacing w:line="18pt" w:lineRule="auto"/>
              <w:rPr>
                <w:rFonts w:ascii="標楷體" w:eastAsia="標楷體" w:hAnsi="標楷體"/>
                <w:b/>
                <w:sz w:val="48"/>
                <w:szCs w:val="48"/>
              </w:rPr>
            </w:pPr>
            <w:r>
              <w:rPr>
                <w:rFonts w:ascii="標楷體" w:eastAsia="標楷體" w:hAnsi="標楷體"/>
                <w:b/>
                <w:sz w:val="48"/>
                <w:szCs w:val="48"/>
              </w:rPr>
              <w:t xml:space="preserve">  </w:t>
            </w:r>
            <w:r>
              <w:rPr>
                <w:rFonts w:ascii="標楷體" w:eastAsia="標楷體" w:hAnsi="標楷體"/>
                <w:b/>
                <w:sz w:val="48"/>
                <w:szCs w:val="48"/>
              </w:rPr>
              <w:t>懲戒法院新聞稿</w:t>
            </w:r>
          </w:p>
          <w:p w:rsidR="00D3572A" w:rsidRDefault="00844DAF">
            <w:pPr>
              <w:spacing w:line="16pt" w:lineRule="exact"/>
              <w:ind w:firstLine="35pt"/>
              <w:jc w:val="both"/>
              <w:rPr>
                <w:rFonts w:ascii="標楷體" w:eastAsia="標楷體" w:hAnsi="標楷體"/>
                <w:sz w:val="28"/>
                <w:szCs w:val="28"/>
              </w:rPr>
            </w:pPr>
            <w:r>
              <w:rPr>
                <w:rFonts w:ascii="標楷體" w:eastAsia="標楷體" w:hAnsi="標楷體"/>
                <w:sz w:val="28"/>
                <w:szCs w:val="28"/>
              </w:rPr>
              <w:t>發稿日期：</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p>
          <w:p w:rsidR="00D3572A" w:rsidRDefault="00844DAF">
            <w:pPr>
              <w:spacing w:line="16pt" w:lineRule="exact"/>
              <w:ind w:firstLine="35pt"/>
              <w:jc w:val="both"/>
              <w:rPr>
                <w:rFonts w:ascii="標楷體" w:eastAsia="標楷體" w:hAnsi="標楷體"/>
                <w:sz w:val="28"/>
                <w:szCs w:val="28"/>
              </w:rPr>
            </w:pPr>
            <w:r>
              <w:rPr>
                <w:rFonts w:ascii="標楷體" w:eastAsia="標楷體" w:hAnsi="標楷體"/>
                <w:sz w:val="28"/>
                <w:szCs w:val="28"/>
              </w:rPr>
              <w:t>發稿單位：書記廳</w:t>
            </w:r>
          </w:p>
          <w:p w:rsidR="00D3572A" w:rsidRDefault="00844DAF">
            <w:pPr>
              <w:spacing w:line="16pt" w:lineRule="exact"/>
              <w:ind w:firstLine="35pt"/>
              <w:jc w:val="both"/>
              <w:rPr>
                <w:rFonts w:ascii="標楷體" w:eastAsia="標楷體" w:hAnsi="標楷體"/>
                <w:sz w:val="28"/>
                <w:szCs w:val="28"/>
              </w:rPr>
            </w:pPr>
            <w:r>
              <w:rPr>
                <w:rFonts w:ascii="標楷體" w:eastAsia="標楷體" w:hAnsi="標楷體"/>
                <w:sz w:val="28"/>
                <w:szCs w:val="28"/>
              </w:rPr>
              <w:t>連</w:t>
            </w:r>
            <w:r>
              <w:rPr>
                <w:rFonts w:ascii="標楷體" w:eastAsia="標楷體" w:hAnsi="標楷體"/>
                <w:sz w:val="28"/>
                <w:szCs w:val="28"/>
              </w:rPr>
              <w:t xml:space="preserve"> </w:t>
            </w:r>
            <w:r>
              <w:rPr>
                <w:rFonts w:ascii="標楷體" w:eastAsia="標楷體" w:hAnsi="標楷體"/>
                <w:sz w:val="28"/>
                <w:szCs w:val="28"/>
              </w:rPr>
              <w:t>絡</w:t>
            </w:r>
            <w:r>
              <w:rPr>
                <w:rFonts w:ascii="標楷體" w:eastAsia="標楷體" w:hAnsi="標楷體"/>
                <w:sz w:val="28"/>
                <w:szCs w:val="28"/>
              </w:rPr>
              <w:t xml:space="preserve"> </w:t>
            </w:r>
            <w:r>
              <w:rPr>
                <w:rFonts w:ascii="標楷體" w:eastAsia="標楷體" w:hAnsi="標楷體"/>
                <w:sz w:val="28"/>
                <w:szCs w:val="28"/>
              </w:rPr>
              <w:t>人：書記官長</w:t>
            </w:r>
            <w:r>
              <w:rPr>
                <w:rFonts w:ascii="標楷體" w:eastAsia="標楷體" w:hAnsi="標楷體"/>
                <w:sz w:val="28"/>
                <w:szCs w:val="28"/>
              </w:rPr>
              <w:t xml:space="preserve"> </w:t>
            </w:r>
            <w:r>
              <w:rPr>
                <w:rFonts w:ascii="標楷體" w:eastAsia="標楷體" w:hAnsi="標楷體"/>
                <w:sz w:val="28"/>
                <w:szCs w:val="28"/>
              </w:rPr>
              <w:t>林玉苹</w:t>
            </w:r>
          </w:p>
          <w:p w:rsidR="00D3572A" w:rsidRDefault="00844DAF">
            <w:pPr>
              <w:spacing w:line="16pt" w:lineRule="exact"/>
              <w:ind w:firstLine="35pt"/>
              <w:jc w:val="both"/>
            </w:pPr>
            <w:r>
              <w:rPr>
                <w:rFonts w:ascii="標楷體" w:eastAsia="標楷體" w:hAnsi="標楷體"/>
                <w:sz w:val="28"/>
                <w:szCs w:val="28"/>
              </w:rPr>
              <w:t>連絡電話：</w:t>
            </w:r>
            <w:r>
              <w:rPr>
                <w:rFonts w:ascii="標楷體" w:eastAsia="標楷體" w:hAnsi="標楷體"/>
                <w:sz w:val="28"/>
                <w:szCs w:val="28"/>
              </w:rPr>
              <w:t>02-23111639</w:t>
            </w:r>
            <w:r>
              <w:rPr>
                <w:rFonts w:ascii="標楷體" w:eastAsia="標楷體" w:hAnsi="標楷體"/>
                <w:sz w:val="28"/>
                <w:szCs w:val="28"/>
              </w:rPr>
              <w:t>分機</w:t>
            </w:r>
            <w:r>
              <w:rPr>
                <w:rFonts w:ascii="標楷體" w:eastAsia="標楷體" w:hAnsi="標楷體"/>
                <w:sz w:val="28"/>
                <w:szCs w:val="28"/>
              </w:rPr>
              <w:t>318</w:t>
            </w:r>
            <w:r>
              <w:rPr>
                <w:rFonts w:ascii="標楷體" w:eastAsia="標楷體" w:hAnsi="標楷體"/>
              </w:rPr>
              <w:t xml:space="preserve">  </w:t>
            </w:r>
            <w:r>
              <w:rPr>
                <w:rFonts w:ascii="標楷體" w:eastAsia="標楷體" w:hAnsi="標楷體"/>
              </w:rPr>
              <w:t>編號：</w:t>
            </w:r>
            <w:r>
              <w:rPr>
                <w:rFonts w:ascii="標楷體" w:eastAsia="標楷體" w:hAnsi="標楷體"/>
                <w:color w:val="000000"/>
              </w:rPr>
              <w:t>110-002</w:t>
            </w:r>
          </w:p>
          <w:p w:rsidR="00D3572A" w:rsidRDefault="00D3572A">
            <w:pPr>
              <w:spacing w:line="16pt" w:lineRule="exact"/>
              <w:ind w:firstLine="30pt"/>
              <w:jc w:val="both"/>
              <w:rPr>
                <w:rFonts w:ascii="標楷體" w:eastAsia="標楷體" w:hAnsi="標楷體"/>
                <w:color w:val="000000"/>
              </w:rPr>
            </w:pPr>
          </w:p>
        </w:tc>
      </w:tr>
    </w:tbl>
    <w:p w:rsidR="00D3572A" w:rsidRDefault="00844DAF" w:rsidP="0043462D">
      <w:pPr>
        <w:spacing w:line="24pt" w:lineRule="exact"/>
        <w:jc w:val="center"/>
        <w:rPr>
          <w:rFonts w:ascii="標楷體" w:eastAsia="標楷體" w:hAnsi="標楷體"/>
          <w:b/>
          <w:sz w:val="32"/>
          <w:szCs w:val="32"/>
        </w:rPr>
      </w:pPr>
      <w:r>
        <w:rPr>
          <w:rFonts w:ascii="標楷體" w:eastAsia="標楷體" w:hAnsi="標楷體"/>
          <w:b/>
          <w:sz w:val="32"/>
          <w:szCs w:val="32"/>
        </w:rPr>
        <w:t>職務法庭就柯盛益法官開庭辱罵當事人之懲戒宣判新聞稿</w:t>
      </w:r>
    </w:p>
    <w:p w:rsidR="00D3572A" w:rsidRDefault="00844DAF" w:rsidP="0043462D">
      <w:pPr>
        <w:spacing w:line="24pt"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本件（</w:t>
      </w:r>
      <w:proofErr w:type="gramStart"/>
      <w:r>
        <w:rPr>
          <w:rFonts w:ascii="標楷體" w:eastAsia="標楷體" w:hAnsi="標楷體"/>
          <w:sz w:val="28"/>
          <w:szCs w:val="28"/>
        </w:rPr>
        <w:t>109</w:t>
      </w:r>
      <w:proofErr w:type="gramEnd"/>
      <w:r>
        <w:rPr>
          <w:rFonts w:ascii="標楷體" w:eastAsia="標楷體" w:hAnsi="標楷體"/>
          <w:sz w:val="28"/>
          <w:szCs w:val="28"/>
        </w:rPr>
        <w:t>年度懲字第</w:t>
      </w:r>
      <w:r>
        <w:rPr>
          <w:rFonts w:ascii="標楷體" w:eastAsia="標楷體" w:hAnsi="標楷體"/>
          <w:sz w:val="28"/>
          <w:szCs w:val="28"/>
        </w:rPr>
        <w:t>6</w:t>
      </w:r>
      <w:r>
        <w:rPr>
          <w:rFonts w:ascii="標楷體" w:eastAsia="標楷體" w:hAnsi="標楷體"/>
          <w:sz w:val="28"/>
          <w:szCs w:val="28"/>
        </w:rPr>
        <w:t>號）已於民國</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日上午</w:t>
      </w:r>
      <w:r>
        <w:rPr>
          <w:rFonts w:ascii="標楷體" w:eastAsia="標楷體" w:hAnsi="標楷體"/>
          <w:sz w:val="28"/>
          <w:szCs w:val="28"/>
        </w:rPr>
        <w:t>10</w:t>
      </w:r>
      <w:r>
        <w:rPr>
          <w:rFonts w:ascii="標楷體" w:eastAsia="標楷體" w:hAnsi="標楷體"/>
          <w:sz w:val="28"/>
          <w:szCs w:val="28"/>
        </w:rPr>
        <w:t>時宣判，茲將判決主文、事實概要及理由要旨，分述如下：</w:t>
      </w:r>
    </w:p>
    <w:p w:rsidR="00D3572A" w:rsidRDefault="00844DAF" w:rsidP="0043462D">
      <w:pPr>
        <w:spacing w:line="24pt" w:lineRule="exact"/>
        <w:jc w:val="both"/>
        <w:rPr>
          <w:rFonts w:ascii="標楷體" w:eastAsia="標楷體" w:hAnsi="標楷體"/>
          <w:b/>
          <w:sz w:val="32"/>
          <w:szCs w:val="32"/>
        </w:rPr>
      </w:pPr>
      <w:r>
        <w:rPr>
          <w:rFonts w:ascii="標楷體" w:eastAsia="標楷體" w:hAnsi="標楷體"/>
          <w:b/>
          <w:sz w:val="32"/>
          <w:szCs w:val="32"/>
        </w:rPr>
        <w:t>一、主文</w:t>
      </w:r>
    </w:p>
    <w:p w:rsidR="00D3572A" w:rsidRDefault="00844DAF" w:rsidP="0043462D">
      <w:pPr>
        <w:spacing w:line="24pt" w:lineRule="exact"/>
        <w:jc w:val="both"/>
      </w:pPr>
      <w:r>
        <w:rPr>
          <w:rFonts w:ascii="標楷體" w:eastAsia="標楷體" w:hAnsi="標楷體"/>
          <w:b/>
          <w:sz w:val="28"/>
          <w:szCs w:val="28"/>
        </w:rPr>
        <w:t xml:space="preserve">    </w:t>
      </w:r>
      <w:r>
        <w:rPr>
          <w:rFonts w:ascii="標楷體" w:eastAsia="標楷體" w:hAnsi="標楷體"/>
          <w:sz w:val="28"/>
          <w:szCs w:val="28"/>
          <w:shd w:val="clear" w:color="auto" w:fill="FFFFFF"/>
        </w:rPr>
        <w:t>柯盛益免除法官職務，轉任司法事務官。</w:t>
      </w:r>
    </w:p>
    <w:p w:rsidR="00D3572A" w:rsidRDefault="00844DAF" w:rsidP="0043462D">
      <w:pPr>
        <w:spacing w:line="24pt" w:lineRule="exact"/>
        <w:jc w:val="both"/>
        <w:rPr>
          <w:rFonts w:ascii="標楷體" w:eastAsia="標楷體" w:hAnsi="標楷體"/>
          <w:b/>
          <w:sz w:val="32"/>
          <w:szCs w:val="32"/>
        </w:rPr>
      </w:pPr>
      <w:r>
        <w:rPr>
          <w:rFonts w:ascii="標楷體" w:eastAsia="標楷體" w:hAnsi="標楷體"/>
          <w:b/>
          <w:sz w:val="32"/>
          <w:szCs w:val="32"/>
        </w:rPr>
        <w:t>二、事實概要</w:t>
      </w:r>
    </w:p>
    <w:p w:rsidR="00D3572A" w:rsidRDefault="00844DAF" w:rsidP="0043462D">
      <w:pPr>
        <w:spacing w:after="9.60pt" w:line="24pt" w:lineRule="exact"/>
        <w:ind w:start="27.95pt" w:firstLine="0.70pt"/>
        <w:jc w:val="both"/>
      </w:pPr>
      <w:r>
        <w:rPr>
          <w:rFonts w:ascii="標楷體" w:eastAsia="標楷體" w:hAnsi="標楷體"/>
          <w:sz w:val="28"/>
          <w:szCs w:val="28"/>
        </w:rPr>
        <w:t>臺灣橋頭地方法院（以下簡稱橋頭地院）法官即被付懲戒人柯盛益（停職中）於</w:t>
      </w:r>
      <w:r>
        <w:rPr>
          <w:rFonts w:ascii="標楷體" w:eastAsia="標楷體" w:hAnsi="標楷體"/>
          <w:sz w:val="28"/>
          <w:szCs w:val="28"/>
          <w:shd w:val="clear" w:color="auto" w:fill="FFFFFF"/>
        </w:rPr>
        <w:t>108</w:t>
      </w:r>
      <w:r>
        <w:rPr>
          <w:rFonts w:ascii="標楷體" w:eastAsia="標楷體" w:hAnsi="標楷體"/>
          <w:sz w:val="28"/>
          <w:szCs w:val="28"/>
          <w:shd w:val="clear" w:color="auto" w:fill="FFFFFF"/>
        </w:rPr>
        <w:t>年</w:t>
      </w:r>
      <w:r>
        <w:rPr>
          <w:rFonts w:ascii="標楷體" w:eastAsia="標楷體" w:hAnsi="標楷體"/>
          <w:sz w:val="28"/>
          <w:szCs w:val="28"/>
          <w:shd w:val="clear" w:color="auto" w:fill="FFFFFF"/>
        </w:rPr>
        <w:t>2</w:t>
      </w:r>
      <w:r>
        <w:rPr>
          <w:rFonts w:ascii="標楷體" w:eastAsia="標楷體" w:hAnsi="標楷體"/>
          <w:sz w:val="28"/>
          <w:szCs w:val="28"/>
          <w:shd w:val="clear" w:color="auto" w:fill="FFFFFF"/>
        </w:rPr>
        <w:t>月</w:t>
      </w:r>
      <w:r>
        <w:rPr>
          <w:rFonts w:ascii="標楷體" w:eastAsia="標楷體" w:hAnsi="標楷體"/>
          <w:sz w:val="28"/>
          <w:szCs w:val="28"/>
          <w:shd w:val="clear" w:color="auto" w:fill="FFFFFF"/>
        </w:rPr>
        <w:t>21</w:t>
      </w:r>
      <w:r>
        <w:rPr>
          <w:rFonts w:ascii="標楷體" w:eastAsia="標楷體" w:hAnsi="標楷體"/>
          <w:sz w:val="28"/>
          <w:szCs w:val="28"/>
          <w:shd w:val="clear" w:color="auto" w:fill="FFFFFF"/>
        </w:rPr>
        <w:t>日下午開庭審理該院</w:t>
      </w:r>
      <w:proofErr w:type="gramStart"/>
      <w:r>
        <w:rPr>
          <w:rFonts w:ascii="標楷體" w:eastAsia="標楷體" w:hAnsi="標楷體"/>
          <w:sz w:val="28"/>
          <w:szCs w:val="28"/>
          <w:shd w:val="clear" w:color="auto" w:fill="FFFFFF"/>
        </w:rPr>
        <w:t>107</w:t>
      </w:r>
      <w:r>
        <w:rPr>
          <w:rFonts w:ascii="標楷體" w:eastAsia="標楷體" w:hAnsi="標楷體"/>
          <w:sz w:val="28"/>
          <w:szCs w:val="28"/>
          <w:shd w:val="clear" w:color="auto" w:fill="FFFFFF"/>
        </w:rPr>
        <w:t>年度訴字第</w:t>
      </w:r>
      <w:r>
        <w:rPr>
          <w:rFonts w:ascii="標楷體" w:eastAsia="標楷體" w:hAnsi="標楷體"/>
          <w:sz w:val="28"/>
          <w:szCs w:val="28"/>
          <w:shd w:val="clear" w:color="auto" w:fill="FFFFFF"/>
        </w:rPr>
        <w:t>601</w:t>
      </w:r>
      <w:r>
        <w:rPr>
          <w:rFonts w:ascii="標楷體" w:eastAsia="標楷體" w:hAnsi="標楷體"/>
          <w:sz w:val="28"/>
          <w:szCs w:val="28"/>
          <w:shd w:val="clear" w:color="auto" w:fill="FFFFFF"/>
        </w:rPr>
        <w:t>號</w:t>
      </w:r>
      <w:proofErr w:type="gramEnd"/>
      <w:r>
        <w:rPr>
          <w:rFonts w:ascii="標楷體" w:eastAsia="標楷體" w:hAnsi="標楷體"/>
          <w:sz w:val="28"/>
          <w:szCs w:val="28"/>
          <w:shd w:val="clear" w:color="auto" w:fill="FFFFFF"/>
        </w:rPr>
        <w:t>事件時，當庭質疑原告訴訟代理人黃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律師所提出的「追加備位聲明」，且以「</w:t>
      </w:r>
      <w:r>
        <w:rPr>
          <w:rFonts w:ascii="標楷體" w:eastAsia="標楷體" w:hAnsi="標楷體"/>
          <w:b/>
          <w:sz w:val="28"/>
          <w:szCs w:val="28"/>
          <w:shd w:val="clear" w:color="auto" w:fill="FFFFFF"/>
        </w:rPr>
        <w:t>你拜託</w:t>
      </w:r>
      <w:proofErr w:type="gramStart"/>
      <w:r>
        <w:rPr>
          <w:rFonts w:ascii="標楷體" w:eastAsia="標楷體" w:hAnsi="標楷體"/>
          <w:b/>
          <w:sz w:val="28"/>
          <w:szCs w:val="28"/>
          <w:shd w:val="clear" w:color="auto" w:fill="FFFFFF"/>
        </w:rPr>
        <w:t>欸</w:t>
      </w:r>
      <w:proofErr w:type="gramEnd"/>
      <w:r>
        <w:rPr>
          <w:rFonts w:ascii="標楷體" w:eastAsia="標楷體" w:hAnsi="標楷體"/>
          <w:b/>
          <w:sz w:val="28"/>
          <w:szCs w:val="28"/>
          <w:shd w:val="clear" w:color="auto" w:fill="FFFFFF"/>
        </w:rPr>
        <w:t>（台語）！讀書讀</w:t>
      </w:r>
      <w:proofErr w:type="gramStart"/>
      <w:r>
        <w:rPr>
          <w:rFonts w:ascii="標楷體" w:eastAsia="標楷體" w:hAnsi="標楷體"/>
          <w:b/>
          <w:sz w:val="28"/>
          <w:szCs w:val="28"/>
          <w:shd w:val="clear" w:color="auto" w:fill="FFFFFF"/>
        </w:rPr>
        <w:t>到傻去</w:t>
      </w:r>
      <w:proofErr w:type="gramEnd"/>
      <w:r>
        <w:rPr>
          <w:rFonts w:ascii="標楷體" w:eastAsia="標楷體" w:hAnsi="標楷體"/>
          <w:b/>
          <w:sz w:val="28"/>
          <w:szCs w:val="28"/>
          <w:shd w:val="clear" w:color="auto" w:fill="FFFFFF"/>
        </w:rPr>
        <w:t>了！</w:t>
      </w:r>
      <w:r>
        <w:rPr>
          <w:rFonts w:ascii="標楷體" w:eastAsia="標楷體" w:hAnsi="標楷體"/>
          <w:sz w:val="28"/>
          <w:szCs w:val="28"/>
          <w:shd w:val="clear" w:color="auto" w:fill="FFFFFF"/>
        </w:rPr>
        <w:t>」、「</w:t>
      </w:r>
      <w:r>
        <w:rPr>
          <w:rFonts w:ascii="標楷體" w:eastAsia="標楷體" w:hAnsi="標楷體"/>
          <w:b/>
          <w:sz w:val="28"/>
          <w:szCs w:val="28"/>
          <w:shd w:val="clear" w:color="auto" w:fill="FFFFFF"/>
        </w:rPr>
        <w:t>你頭殼壞掉（台語），我真的是很佩服你們這些律師不知道當時那個書是怎麼</w:t>
      </w:r>
      <w:proofErr w:type="gramStart"/>
      <w:r>
        <w:rPr>
          <w:rFonts w:ascii="標楷體" w:eastAsia="標楷體" w:hAnsi="標楷體"/>
          <w:b/>
          <w:sz w:val="28"/>
          <w:szCs w:val="28"/>
          <w:shd w:val="clear" w:color="auto" w:fill="FFFFFF"/>
        </w:rPr>
        <w:t>唸</w:t>
      </w:r>
      <w:proofErr w:type="gramEnd"/>
      <w:r>
        <w:rPr>
          <w:rFonts w:ascii="標楷體" w:eastAsia="標楷體" w:hAnsi="標楷體"/>
          <w:b/>
          <w:sz w:val="28"/>
          <w:szCs w:val="28"/>
          <w:shd w:val="clear" w:color="auto" w:fill="FFFFFF"/>
        </w:rPr>
        <w:t>的！</w:t>
      </w:r>
      <w:r>
        <w:rPr>
          <w:rFonts w:ascii="標楷體" w:eastAsia="標楷體" w:hAnsi="標楷體"/>
          <w:sz w:val="28"/>
          <w:szCs w:val="28"/>
          <w:shd w:val="clear" w:color="auto" w:fill="FFFFFF"/>
        </w:rPr>
        <w:t>」、「</w:t>
      </w:r>
      <w:r>
        <w:rPr>
          <w:rFonts w:ascii="標楷體" w:eastAsia="標楷體" w:hAnsi="標楷體"/>
          <w:b/>
          <w:sz w:val="28"/>
          <w:szCs w:val="28"/>
          <w:shd w:val="clear" w:color="auto" w:fill="FFFFFF"/>
        </w:rPr>
        <w:t>黃</w:t>
      </w:r>
      <w:r>
        <w:rPr>
          <w:rFonts w:ascii="標楷體" w:eastAsia="標楷體" w:hAnsi="標楷體"/>
          <w:b/>
          <w:sz w:val="28"/>
          <w:szCs w:val="28"/>
          <w:shd w:val="clear" w:color="auto" w:fill="FFFFFF"/>
        </w:rPr>
        <w:t>○</w:t>
      </w:r>
      <w:proofErr w:type="gramStart"/>
      <w:r>
        <w:rPr>
          <w:rFonts w:ascii="標楷體" w:eastAsia="標楷體" w:hAnsi="標楷體"/>
          <w:b/>
          <w:sz w:val="28"/>
          <w:szCs w:val="28"/>
          <w:shd w:val="clear" w:color="auto" w:fill="FFFFFF"/>
        </w:rPr>
        <w:t>浩</w:t>
      </w:r>
      <w:proofErr w:type="gramEnd"/>
      <w:r>
        <w:rPr>
          <w:rFonts w:ascii="標楷體" w:eastAsia="標楷體" w:hAnsi="標楷體"/>
          <w:b/>
          <w:sz w:val="28"/>
          <w:szCs w:val="28"/>
          <w:shd w:val="clear" w:color="auto" w:fill="FFFFFF"/>
        </w:rPr>
        <w:t>律師。你哪一個學校畢業？是哪一個教授教這個民事訴訟？你可以告訴我嗎？</w:t>
      </w:r>
      <w:r>
        <w:rPr>
          <w:rFonts w:ascii="標楷體" w:eastAsia="標楷體" w:hAnsi="標楷體"/>
          <w:sz w:val="28"/>
          <w:szCs w:val="28"/>
          <w:shd w:val="clear" w:color="auto" w:fill="FFFFFF"/>
        </w:rPr>
        <w:t>」等語</w:t>
      </w:r>
      <w:r>
        <w:rPr>
          <w:rFonts w:ascii="標楷體" w:eastAsia="標楷體" w:hAnsi="標楷體" w:cs="標楷體"/>
          <w:sz w:val="28"/>
          <w:szCs w:val="28"/>
          <w:shd w:val="clear" w:color="auto" w:fill="FFFFFF"/>
        </w:rPr>
        <w:t>責罵</w:t>
      </w:r>
      <w:r>
        <w:rPr>
          <w:rFonts w:ascii="標楷體" w:eastAsia="標楷體" w:hAnsi="標楷體"/>
          <w:sz w:val="28"/>
          <w:szCs w:val="28"/>
          <w:shd w:val="clear" w:color="auto" w:fill="FFFFFF"/>
        </w:rPr>
        <w:t>，並要求當庭撤回；</w:t>
      </w:r>
      <w:r>
        <w:rPr>
          <w:rFonts w:ascii="標楷體" w:eastAsia="標楷體" w:hAnsi="標楷體" w:cs="標楷體"/>
          <w:sz w:val="28"/>
          <w:szCs w:val="28"/>
          <w:shd w:val="clear" w:color="auto" w:fill="FFFFFF"/>
        </w:rPr>
        <w:t>於詢問被告</w:t>
      </w:r>
      <w:proofErr w:type="gramStart"/>
      <w:r>
        <w:rPr>
          <w:rFonts w:ascii="標楷體" w:eastAsia="標楷體" w:hAnsi="標楷體" w:cs="標楷體"/>
          <w:sz w:val="28"/>
          <w:szCs w:val="28"/>
          <w:shd w:val="clear" w:color="auto" w:fill="FFFFFF"/>
        </w:rPr>
        <w:t>複</w:t>
      </w:r>
      <w:proofErr w:type="gramEnd"/>
      <w:r>
        <w:rPr>
          <w:rFonts w:ascii="標楷體" w:eastAsia="標楷體" w:hAnsi="標楷體" w:cs="標楷體"/>
          <w:sz w:val="28"/>
          <w:szCs w:val="28"/>
          <w:shd w:val="clear" w:color="auto" w:fill="FFFFFF"/>
        </w:rPr>
        <w:t>代理人黃</w:t>
      </w:r>
      <w:r>
        <w:rPr>
          <w:rFonts w:ascii="標楷體" w:eastAsia="標楷體" w:hAnsi="標楷體" w:cs="標楷體"/>
          <w:sz w:val="28"/>
          <w:szCs w:val="28"/>
          <w:shd w:val="clear" w:color="auto" w:fill="FFFFFF"/>
        </w:rPr>
        <w:t>○</w:t>
      </w:r>
      <w:proofErr w:type="gramStart"/>
      <w:r>
        <w:rPr>
          <w:rFonts w:ascii="標楷體" w:eastAsia="標楷體" w:hAnsi="標楷體" w:cs="標楷體"/>
          <w:sz w:val="28"/>
          <w:szCs w:val="28"/>
          <w:shd w:val="clear" w:color="auto" w:fill="FFFFFF"/>
        </w:rPr>
        <w:t>珮</w:t>
      </w:r>
      <w:proofErr w:type="gramEnd"/>
      <w:r>
        <w:rPr>
          <w:rFonts w:ascii="標楷體" w:eastAsia="標楷體" w:hAnsi="標楷體" w:cs="標楷體"/>
          <w:sz w:val="28"/>
          <w:szCs w:val="28"/>
          <w:shd w:val="clear" w:color="auto" w:fill="FFFFFF"/>
        </w:rPr>
        <w:t>律師的意見時，</w:t>
      </w:r>
      <w:r>
        <w:rPr>
          <w:rFonts w:ascii="標楷體" w:eastAsia="標楷體" w:hAnsi="標楷體" w:cs="標楷體"/>
          <w:sz w:val="28"/>
          <w:szCs w:val="28"/>
          <w:shd w:val="clear" w:color="auto" w:fill="FFFFFF"/>
        </w:rPr>
        <w:t>又當庭</w:t>
      </w:r>
      <w:proofErr w:type="gramStart"/>
      <w:r>
        <w:rPr>
          <w:rFonts w:ascii="標楷體" w:eastAsia="標楷體" w:hAnsi="標楷體" w:cs="標楷體"/>
          <w:sz w:val="28"/>
          <w:szCs w:val="28"/>
          <w:shd w:val="clear" w:color="auto" w:fill="FFFFFF"/>
        </w:rPr>
        <w:t>以</w:t>
      </w:r>
      <w:proofErr w:type="gramEnd"/>
      <w:r>
        <w:rPr>
          <w:rFonts w:ascii="標楷體" w:eastAsia="標楷體" w:hAnsi="標楷體" w:cs="標楷體"/>
          <w:sz w:val="28"/>
          <w:szCs w:val="28"/>
          <w:shd w:val="clear" w:color="auto" w:fill="FFFFFF"/>
        </w:rPr>
        <w:t>：「</w:t>
      </w:r>
      <w:r>
        <w:rPr>
          <w:rFonts w:ascii="標楷體" w:eastAsia="標楷體" w:hAnsi="標楷體" w:cs="標楷體"/>
          <w:b/>
          <w:sz w:val="28"/>
          <w:szCs w:val="28"/>
          <w:shd w:val="clear" w:color="auto" w:fill="FFFFFF"/>
        </w:rPr>
        <w:t>妳也跟他一樣腦袋糊塗啦！妳也跟他腦袋糊塗</w:t>
      </w:r>
      <w:r>
        <w:rPr>
          <w:rFonts w:ascii="標楷體" w:eastAsia="標楷體" w:hAnsi="標楷體" w:cs="標楷體"/>
          <w:sz w:val="28"/>
          <w:szCs w:val="28"/>
          <w:shd w:val="clear" w:color="auto" w:fill="FFFFFF"/>
        </w:rPr>
        <w:t>」等語責罵。柯盛益並在</w:t>
      </w:r>
      <w:r>
        <w:rPr>
          <w:rFonts w:ascii="標楷體" w:eastAsia="標楷體" w:hAnsi="標楷體"/>
          <w:sz w:val="28"/>
          <w:szCs w:val="28"/>
          <w:shd w:val="clear" w:color="auto" w:fill="FFFFFF"/>
        </w:rPr>
        <w:t>未獲應允的情況下，扭曲黃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律師當庭陳述的本旨，</w:t>
      </w:r>
      <w:proofErr w:type="gramStart"/>
      <w:r>
        <w:rPr>
          <w:rFonts w:ascii="標楷體" w:eastAsia="標楷體" w:hAnsi="標楷體"/>
          <w:sz w:val="28"/>
          <w:szCs w:val="28"/>
          <w:shd w:val="clear" w:color="auto" w:fill="FFFFFF"/>
        </w:rPr>
        <w:t>逕</w:t>
      </w:r>
      <w:proofErr w:type="gramEnd"/>
      <w:r>
        <w:rPr>
          <w:rFonts w:ascii="標楷體" w:eastAsia="標楷體" w:hAnsi="標楷體"/>
          <w:sz w:val="28"/>
          <w:szCs w:val="28"/>
          <w:shd w:val="clear" w:color="auto" w:fill="FFFFFF"/>
        </w:rPr>
        <w:t>予指示書記官於筆錄上記載黃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律師撤回備位之訴，經黃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律師當場異議後，</w:t>
      </w:r>
      <w:proofErr w:type="gramStart"/>
      <w:r>
        <w:rPr>
          <w:rFonts w:ascii="標楷體" w:eastAsia="標楷體" w:hAnsi="標楷體"/>
          <w:sz w:val="28"/>
          <w:szCs w:val="28"/>
          <w:shd w:val="clear" w:color="auto" w:fill="FFFFFF"/>
        </w:rPr>
        <w:t>才命書記官</w:t>
      </w:r>
      <w:proofErr w:type="gramEnd"/>
      <w:r>
        <w:rPr>
          <w:rFonts w:ascii="標楷體" w:eastAsia="標楷體" w:hAnsi="標楷體"/>
          <w:sz w:val="28"/>
          <w:szCs w:val="28"/>
          <w:shd w:val="clear" w:color="auto" w:fill="FFFFFF"/>
        </w:rPr>
        <w:t>更正筆錄記載。</w:t>
      </w:r>
    </w:p>
    <w:p w:rsidR="00D3572A" w:rsidRDefault="00844DAF" w:rsidP="0043462D">
      <w:pPr>
        <w:spacing w:line="24pt" w:lineRule="exact"/>
        <w:ind w:start="27.95pt" w:firstLine="0.70pt"/>
        <w:jc w:val="both"/>
      </w:pPr>
      <w:r>
        <w:rPr>
          <w:rFonts w:ascii="標楷體" w:eastAsia="標楷體" w:hAnsi="標楷體"/>
          <w:sz w:val="28"/>
          <w:szCs w:val="28"/>
          <w:shd w:val="clear" w:color="auto" w:fill="FFFFFF"/>
        </w:rPr>
        <w:t>另外，被付懲戒人在承審橋頭地院</w:t>
      </w:r>
      <w:proofErr w:type="gramStart"/>
      <w:r>
        <w:rPr>
          <w:rFonts w:ascii="標楷體" w:eastAsia="標楷體" w:hAnsi="標楷體"/>
          <w:sz w:val="28"/>
          <w:szCs w:val="28"/>
          <w:shd w:val="clear" w:color="auto" w:fill="FFFFFF"/>
        </w:rPr>
        <w:t>107</w:t>
      </w:r>
      <w:r>
        <w:rPr>
          <w:rFonts w:ascii="標楷體" w:eastAsia="標楷體" w:hAnsi="標楷體"/>
          <w:sz w:val="28"/>
          <w:szCs w:val="28"/>
          <w:shd w:val="clear" w:color="auto" w:fill="FFFFFF"/>
        </w:rPr>
        <w:t>年度訴字第</w:t>
      </w:r>
      <w:r>
        <w:rPr>
          <w:rFonts w:ascii="標楷體" w:eastAsia="標楷體" w:hAnsi="標楷體"/>
          <w:sz w:val="28"/>
          <w:szCs w:val="28"/>
          <w:shd w:val="clear" w:color="auto" w:fill="FFFFFF"/>
        </w:rPr>
        <w:t>616</w:t>
      </w:r>
      <w:r>
        <w:rPr>
          <w:rFonts w:ascii="標楷體" w:eastAsia="標楷體" w:hAnsi="標楷體"/>
          <w:sz w:val="28"/>
          <w:szCs w:val="28"/>
          <w:shd w:val="clear" w:color="auto" w:fill="FFFFFF"/>
        </w:rPr>
        <w:t>號</w:t>
      </w:r>
      <w:proofErr w:type="gramEnd"/>
      <w:r>
        <w:rPr>
          <w:rFonts w:ascii="標楷體" w:eastAsia="標楷體" w:hAnsi="標楷體"/>
          <w:sz w:val="28"/>
          <w:szCs w:val="28"/>
          <w:shd w:val="clear" w:color="auto" w:fill="FFFFFF"/>
        </w:rPr>
        <w:t>等其他</w:t>
      </w:r>
      <w:r>
        <w:rPr>
          <w:rFonts w:ascii="標楷體" w:eastAsia="標楷體" w:hAnsi="標楷體"/>
          <w:sz w:val="28"/>
          <w:szCs w:val="28"/>
          <w:shd w:val="clear" w:color="auto" w:fill="FFFFFF"/>
        </w:rPr>
        <w:t>6</w:t>
      </w:r>
      <w:r>
        <w:rPr>
          <w:rFonts w:ascii="標楷體" w:eastAsia="標楷體" w:hAnsi="標楷體"/>
          <w:sz w:val="28"/>
          <w:szCs w:val="28"/>
          <w:shd w:val="clear" w:color="auto" w:fill="FFFFFF"/>
        </w:rPr>
        <w:t>件民事事件，於</w:t>
      </w:r>
      <w:r>
        <w:rPr>
          <w:rFonts w:ascii="標楷體" w:eastAsia="標楷體" w:hAnsi="標楷體"/>
          <w:sz w:val="28"/>
          <w:szCs w:val="28"/>
          <w:shd w:val="clear" w:color="auto" w:fill="FFFFFF"/>
        </w:rPr>
        <w:t>108</w:t>
      </w:r>
      <w:r>
        <w:rPr>
          <w:rFonts w:ascii="標楷體" w:eastAsia="標楷體" w:hAnsi="標楷體"/>
          <w:sz w:val="28"/>
          <w:szCs w:val="28"/>
          <w:shd w:val="clear" w:color="auto" w:fill="FFFFFF"/>
        </w:rPr>
        <w:t>年</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月至</w:t>
      </w:r>
      <w:r>
        <w:rPr>
          <w:rFonts w:ascii="標楷體" w:eastAsia="標楷體" w:hAnsi="標楷體"/>
          <w:sz w:val="28"/>
          <w:szCs w:val="28"/>
          <w:shd w:val="clear" w:color="auto" w:fill="FFFFFF"/>
        </w:rPr>
        <w:t>2</w:t>
      </w:r>
      <w:r>
        <w:rPr>
          <w:rFonts w:ascii="標楷體" w:eastAsia="標楷體" w:hAnsi="標楷體"/>
          <w:sz w:val="28"/>
          <w:szCs w:val="28"/>
          <w:shd w:val="clear" w:color="auto" w:fill="FFFFFF"/>
        </w:rPr>
        <w:t>月之間開庭時，亦分別有開庭態度不良，以及對訴訟當事人或代理人辱罵：「</w:t>
      </w:r>
      <w:r>
        <w:rPr>
          <w:rFonts w:ascii="標楷體" w:eastAsia="標楷體" w:hAnsi="標楷體"/>
          <w:b/>
          <w:sz w:val="28"/>
          <w:szCs w:val="28"/>
          <w:shd w:val="clear" w:color="auto" w:fill="FFFFFF"/>
        </w:rPr>
        <w:t>證人講的會對本件產生什麼樣效果你也不提出來說，反正我這個律師呢，晚上就是去喝酒，我管你法院訴訟進行，是這樣嗎？</w:t>
      </w:r>
      <w:r>
        <w:rPr>
          <w:rFonts w:ascii="標楷體" w:eastAsia="標楷體" w:hAnsi="標楷體"/>
          <w:sz w:val="28"/>
          <w:szCs w:val="28"/>
          <w:shd w:val="clear" w:color="auto" w:fill="FFFFFF"/>
        </w:rPr>
        <w:t>」、「</w:t>
      </w:r>
      <w:r>
        <w:rPr>
          <w:rFonts w:ascii="標楷體" w:eastAsia="標楷體" w:hAnsi="標楷體"/>
          <w:b/>
          <w:sz w:val="28"/>
          <w:szCs w:val="28"/>
          <w:shd w:val="clear" w:color="auto" w:fill="FFFFFF"/>
        </w:rPr>
        <w:t>我在講你</w:t>
      </w:r>
      <w:proofErr w:type="gramStart"/>
      <w:r>
        <w:rPr>
          <w:rFonts w:ascii="標楷體" w:eastAsia="標楷體" w:hAnsi="標楷體"/>
          <w:b/>
          <w:sz w:val="28"/>
          <w:szCs w:val="28"/>
          <w:shd w:val="clear" w:color="auto" w:fill="FFFFFF"/>
        </w:rPr>
        <w:t>你</w:t>
      </w:r>
      <w:proofErr w:type="gramEnd"/>
      <w:r>
        <w:rPr>
          <w:rFonts w:ascii="標楷體" w:eastAsia="標楷體" w:hAnsi="標楷體"/>
          <w:b/>
          <w:sz w:val="28"/>
          <w:szCs w:val="28"/>
          <w:shd w:val="clear" w:color="auto" w:fill="FFFFFF"/>
        </w:rPr>
        <w:t>還搞</w:t>
      </w:r>
      <w:r>
        <w:rPr>
          <w:rFonts w:ascii="標楷體" w:eastAsia="標楷體" w:hAnsi="標楷體"/>
          <w:b/>
          <w:sz w:val="28"/>
          <w:szCs w:val="28"/>
          <w:shd w:val="clear" w:color="auto" w:fill="FFFFFF"/>
        </w:rPr>
        <w:t>不</w:t>
      </w:r>
      <w:r>
        <w:rPr>
          <w:rFonts w:ascii="標楷體" w:eastAsia="標楷體" w:hAnsi="標楷體"/>
          <w:b/>
          <w:sz w:val="28"/>
          <w:szCs w:val="28"/>
          <w:shd w:val="clear" w:color="auto" w:fill="FFFFFF"/>
        </w:rPr>
        <w:lastRenderedPageBreak/>
        <w:t>清楚，你還聽不懂，你還要立一個冤親債主，你下一輩子小心被人打了還搞不清是什麼因素。</w:t>
      </w:r>
      <w:r>
        <w:rPr>
          <w:rFonts w:ascii="標楷體" w:eastAsia="標楷體" w:hAnsi="標楷體"/>
          <w:b/>
          <w:sz w:val="28"/>
          <w:szCs w:val="28"/>
          <w:shd w:val="clear" w:color="auto" w:fill="FFFFFF"/>
        </w:rPr>
        <w:t>…</w:t>
      </w:r>
      <w:proofErr w:type="gramStart"/>
      <w:r>
        <w:rPr>
          <w:rFonts w:ascii="標楷體" w:eastAsia="標楷體" w:hAnsi="標楷體"/>
          <w:b/>
          <w:sz w:val="28"/>
          <w:szCs w:val="28"/>
          <w:shd w:val="clear" w:color="auto" w:fill="FFFFFF"/>
        </w:rPr>
        <w:t>…</w:t>
      </w:r>
      <w:proofErr w:type="gramEnd"/>
      <w:r>
        <w:rPr>
          <w:rFonts w:ascii="標楷體" w:eastAsia="標楷體" w:hAnsi="標楷體"/>
          <w:b/>
          <w:sz w:val="28"/>
          <w:szCs w:val="28"/>
          <w:shd w:val="clear" w:color="auto" w:fill="FFFFFF"/>
        </w:rPr>
        <w:t>你後面一定會有災禍，還搞不清楚</w:t>
      </w:r>
      <w:r>
        <w:rPr>
          <w:rFonts w:ascii="標楷體" w:eastAsia="標楷體" w:hAnsi="標楷體"/>
          <w:sz w:val="28"/>
          <w:szCs w:val="28"/>
          <w:shd w:val="clear" w:color="auto" w:fill="FFFFFF"/>
        </w:rPr>
        <w:t>」、「</w:t>
      </w:r>
      <w:r>
        <w:rPr>
          <w:rFonts w:ascii="標楷體" w:eastAsia="標楷體" w:hAnsi="標楷體"/>
          <w:b/>
          <w:sz w:val="28"/>
          <w:szCs w:val="28"/>
          <w:shd w:val="clear" w:color="auto" w:fill="FFFFFF"/>
        </w:rPr>
        <w:t>所以你們這些包商該死啦，難怪你拿不到錢，公司開這麼大間，結果這種事情做的嘻嘻哈哈</w:t>
      </w:r>
      <w:r>
        <w:rPr>
          <w:rFonts w:ascii="標楷體" w:eastAsia="標楷體" w:hAnsi="標楷體"/>
          <w:b/>
          <w:sz w:val="28"/>
          <w:szCs w:val="28"/>
          <w:shd w:val="clear" w:color="auto" w:fill="FFFFFF"/>
        </w:rPr>
        <w:t>(</w:t>
      </w:r>
      <w:r>
        <w:rPr>
          <w:rFonts w:ascii="標楷體" w:eastAsia="標楷體" w:hAnsi="標楷體"/>
          <w:b/>
          <w:sz w:val="28"/>
          <w:szCs w:val="28"/>
          <w:shd w:val="clear" w:color="auto" w:fill="FFFFFF"/>
        </w:rPr>
        <w:t>台語</w:t>
      </w:r>
      <w:r>
        <w:rPr>
          <w:rFonts w:ascii="標楷體" w:eastAsia="標楷體" w:hAnsi="標楷體"/>
          <w:b/>
          <w:sz w:val="28"/>
          <w:szCs w:val="28"/>
          <w:shd w:val="clear" w:color="auto" w:fill="FFFFFF"/>
        </w:rPr>
        <w:t>)</w:t>
      </w:r>
      <w:r>
        <w:rPr>
          <w:rFonts w:ascii="標楷體" w:eastAsia="標楷體" w:hAnsi="標楷體"/>
          <w:b/>
          <w:sz w:val="28"/>
          <w:szCs w:val="28"/>
          <w:shd w:val="clear" w:color="auto" w:fill="FFFFFF"/>
        </w:rPr>
        <w:t>，該你拿</w:t>
      </w:r>
      <w:proofErr w:type="gramStart"/>
      <w:r>
        <w:rPr>
          <w:rFonts w:ascii="標楷體" w:eastAsia="標楷體" w:hAnsi="標楷體"/>
          <w:b/>
          <w:sz w:val="28"/>
          <w:szCs w:val="28"/>
          <w:shd w:val="clear" w:color="auto" w:fill="FFFFFF"/>
        </w:rPr>
        <w:t>不到錢啊</w:t>
      </w:r>
      <w:proofErr w:type="gramEnd"/>
      <w:r>
        <w:rPr>
          <w:rFonts w:ascii="標楷體" w:eastAsia="標楷體" w:hAnsi="標楷體"/>
          <w:sz w:val="28"/>
          <w:szCs w:val="28"/>
          <w:shd w:val="clear" w:color="auto" w:fill="FFFFFF"/>
        </w:rPr>
        <w:t>」、「</w:t>
      </w:r>
      <w:r>
        <w:rPr>
          <w:rFonts w:ascii="標楷體" w:eastAsia="標楷體" w:hAnsi="標楷體"/>
          <w:b/>
          <w:sz w:val="28"/>
          <w:szCs w:val="28"/>
          <w:shd w:val="clear" w:color="auto" w:fill="FFFFFF"/>
        </w:rPr>
        <w:t>真的是氣死人，這種東西是三歲小孩在玩的東西，你拿來這</w:t>
      </w:r>
      <w:proofErr w:type="gramStart"/>
      <w:r>
        <w:rPr>
          <w:rFonts w:ascii="標楷體" w:eastAsia="標楷體" w:hAnsi="標楷體"/>
          <w:b/>
          <w:sz w:val="28"/>
          <w:szCs w:val="28"/>
          <w:shd w:val="clear" w:color="auto" w:fill="FFFFFF"/>
        </w:rPr>
        <w:t>裏扮公伙仔</w:t>
      </w:r>
      <w:proofErr w:type="gramEnd"/>
      <w:r>
        <w:rPr>
          <w:rFonts w:ascii="標楷體" w:eastAsia="標楷體" w:hAnsi="標楷體"/>
          <w:b/>
          <w:sz w:val="28"/>
          <w:szCs w:val="28"/>
          <w:shd w:val="clear" w:color="auto" w:fill="FFFFFF"/>
        </w:rPr>
        <w:t>(</w:t>
      </w:r>
      <w:r>
        <w:rPr>
          <w:rFonts w:ascii="標楷體" w:eastAsia="標楷體" w:hAnsi="標楷體"/>
          <w:b/>
          <w:sz w:val="28"/>
          <w:szCs w:val="28"/>
          <w:shd w:val="clear" w:color="auto" w:fill="FFFFFF"/>
        </w:rPr>
        <w:t>台語</w:t>
      </w:r>
      <w:r>
        <w:rPr>
          <w:rFonts w:ascii="標楷體" w:eastAsia="標楷體" w:hAnsi="標楷體"/>
          <w:b/>
          <w:sz w:val="28"/>
          <w:szCs w:val="28"/>
          <w:shd w:val="clear" w:color="auto" w:fill="FFFFFF"/>
        </w:rPr>
        <w:t>)</w:t>
      </w:r>
      <w:r>
        <w:rPr>
          <w:rFonts w:ascii="標楷體" w:eastAsia="標楷體" w:hAnsi="標楷體"/>
          <w:sz w:val="28"/>
          <w:szCs w:val="28"/>
          <w:shd w:val="clear" w:color="auto" w:fill="FFFFFF"/>
        </w:rPr>
        <w:t>」等言詞。</w:t>
      </w:r>
    </w:p>
    <w:p w:rsidR="00D3572A" w:rsidRDefault="00844DAF" w:rsidP="0043462D">
      <w:pPr>
        <w:spacing w:line="24pt" w:lineRule="exact"/>
        <w:jc w:val="both"/>
        <w:rPr>
          <w:rFonts w:ascii="標楷體" w:eastAsia="標楷體" w:hAnsi="標楷體"/>
          <w:b/>
          <w:sz w:val="32"/>
          <w:szCs w:val="32"/>
        </w:rPr>
      </w:pPr>
      <w:r>
        <w:rPr>
          <w:rFonts w:ascii="標楷體" w:eastAsia="標楷體" w:hAnsi="標楷體"/>
          <w:b/>
          <w:sz w:val="32"/>
          <w:szCs w:val="32"/>
        </w:rPr>
        <w:t>三、理由要旨</w:t>
      </w:r>
    </w:p>
    <w:p w:rsidR="00D3572A" w:rsidRDefault="00844DAF" w:rsidP="0043462D">
      <w:pPr>
        <w:spacing w:line="24pt" w:lineRule="exact"/>
        <w:ind w:start="26.60pt" w:hanging="26.60pt"/>
        <w:jc w:val="both"/>
        <w:rPr>
          <w:rFonts w:ascii="標楷體" w:eastAsia="標楷體" w:hAnsi="標楷體"/>
          <w:b/>
          <w:sz w:val="32"/>
          <w:szCs w:val="32"/>
        </w:rPr>
      </w:pPr>
      <w:r>
        <w:rPr>
          <w:rFonts w:ascii="標楷體" w:eastAsia="標楷體" w:hAnsi="標楷體"/>
          <w:b/>
          <w:sz w:val="32"/>
          <w:szCs w:val="32"/>
        </w:rPr>
        <w:t>（一）柯盛益有應受懲戒的違失事實，並有懲戒的必要</w:t>
      </w:r>
    </w:p>
    <w:p w:rsidR="00D3572A" w:rsidRDefault="00844DAF" w:rsidP="0043462D">
      <w:pPr>
        <w:spacing w:after="9.60pt" w:line="24pt" w:lineRule="exact"/>
        <w:ind w:start="29.40pt"/>
        <w:jc w:val="both"/>
      </w:pPr>
      <w:r>
        <w:rPr>
          <w:rFonts w:ascii="標楷體" w:eastAsia="標楷體" w:hAnsi="標楷體"/>
          <w:sz w:val="28"/>
          <w:szCs w:val="28"/>
        </w:rPr>
        <w:t>柯盛益於前述案件開庭時所為的言詞，</w:t>
      </w:r>
      <w:r>
        <w:rPr>
          <w:rFonts w:ascii="標楷體" w:eastAsia="標楷體" w:hAnsi="標楷體"/>
          <w:sz w:val="28"/>
          <w:szCs w:val="28"/>
          <w:shd w:val="clear" w:color="auto" w:fill="FFFFFF"/>
        </w:rPr>
        <w:t>不僅已逾越審判長訴訟闡明義務範圍，恣意而沒有耐心、帶有</w:t>
      </w:r>
      <w:proofErr w:type="gramStart"/>
      <w:r>
        <w:rPr>
          <w:rFonts w:ascii="標楷體" w:eastAsia="標楷體" w:hAnsi="標楷體"/>
          <w:sz w:val="28"/>
          <w:szCs w:val="28"/>
          <w:shd w:val="clear" w:color="auto" w:fill="FFFFFF"/>
        </w:rPr>
        <w:t>預斷性</w:t>
      </w:r>
      <w:proofErr w:type="gramEnd"/>
      <w:r>
        <w:rPr>
          <w:rFonts w:ascii="標楷體" w:eastAsia="標楷體" w:hAnsi="標楷體"/>
          <w:sz w:val="28"/>
          <w:szCs w:val="28"/>
          <w:shd w:val="clear" w:color="auto" w:fill="FFFFFF"/>
        </w:rPr>
        <w:t>的陳述，且態度輕率，語帶譏諷、任意辱罵</w:t>
      </w:r>
      <w:r>
        <w:rPr>
          <w:rFonts w:ascii="標楷體" w:eastAsia="標楷體" w:hAnsi="標楷體"/>
          <w:sz w:val="28"/>
          <w:szCs w:val="28"/>
          <w:shd w:val="clear" w:color="auto" w:fill="FFFFFF"/>
        </w:rPr>
        <w:t>，甚至涉及對個人的人身攻擊，已嚴重違反</w:t>
      </w:r>
      <w:r>
        <w:rPr>
          <w:rFonts w:ascii="新細明體" w:hAnsi="新細明體"/>
          <w:sz w:val="28"/>
          <w:szCs w:val="28"/>
          <w:shd w:val="clear" w:color="auto" w:fill="FFFFFF"/>
        </w:rPr>
        <w:t>《</w:t>
      </w:r>
      <w:r>
        <w:rPr>
          <w:rFonts w:ascii="標楷體" w:eastAsia="標楷體" w:hAnsi="標楷體"/>
          <w:sz w:val="28"/>
          <w:szCs w:val="28"/>
          <w:shd w:val="clear" w:color="auto" w:fill="FFFFFF"/>
        </w:rPr>
        <w:t>法官倫理規範</w:t>
      </w:r>
      <w:r>
        <w:rPr>
          <w:rFonts w:ascii="新細明體" w:hAnsi="新細明體"/>
          <w:sz w:val="28"/>
          <w:szCs w:val="28"/>
          <w:shd w:val="clear" w:color="auto" w:fill="FFFFFF"/>
        </w:rPr>
        <w:t>》</w:t>
      </w:r>
      <w:r>
        <w:rPr>
          <w:rFonts w:ascii="標楷體" w:eastAsia="標楷體" w:hAnsi="標楷體"/>
          <w:sz w:val="28"/>
          <w:szCs w:val="28"/>
          <w:shd w:val="clear" w:color="auto" w:fill="FFFFFF"/>
        </w:rPr>
        <w:t>第</w:t>
      </w:r>
      <w:r>
        <w:rPr>
          <w:rFonts w:ascii="標楷體" w:eastAsia="標楷體" w:hAnsi="標楷體"/>
          <w:sz w:val="28"/>
          <w:szCs w:val="28"/>
          <w:shd w:val="clear" w:color="auto" w:fill="FFFFFF"/>
        </w:rPr>
        <w:t>3</w:t>
      </w:r>
      <w:r>
        <w:rPr>
          <w:rFonts w:ascii="標楷體" w:eastAsia="標楷體" w:hAnsi="標楷體"/>
          <w:sz w:val="28"/>
          <w:szCs w:val="28"/>
          <w:shd w:val="clear" w:color="auto" w:fill="FFFFFF"/>
        </w:rPr>
        <w:t>條及第</w:t>
      </w:r>
      <w:r>
        <w:rPr>
          <w:rFonts w:ascii="標楷體" w:eastAsia="標楷體" w:hAnsi="標楷體"/>
          <w:sz w:val="28"/>
          <w:szCs w:val="28"/>
          <w:shd w:val="clear" w:color="auto" w:fill="FFFFFF"/>
        </w:rPr>
        <w:t>12</w:t>
      </w:r>
      <w:r>
        <w:rPr>
          <w:rFonts w:ascii="標楷體" w:eastAsia="標楷體" w:hAnsi="標楷體"/>
          <w:sz w:val="28"/>
          <w:szCs w:val="28"/>
          <w:shd w:val="clear" w:color="auto" w:fill="FFFFFF"/>
        </w:rPr>
        <w:t>條第</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項、第</w:t>
      </w:r>
      <w:r>
        <w:rPr>
          <w:rFonts w:ascii="標楷體" w:eastAsia="標楷體" w:hAnsi="標楷體"/>
          <w:sz w:val="28"/>
          <w:szCs w:val="28"/>
          <w:shd w:val="clear" w:color="auto" w:fill="FFFFFF"/>
        </w:rPr>
        <w:t>2</w:t>
      </w:r>
      <w:r>
        <w:rPr>
          <w:rFonts w:ascii="標楷體" w:eastAsia="標楷體" w:hAnsi="標楷體"/>
          <w:sz w:val="28"/>
          <w:szCs w:val="28"/>
          <w:shd w:val="clear" w:color="auto" w:fill="FFFFFF"/>
        </w:rPr>
        <w:t>項規定，以及司法院依其司法行政監督權限所訂頒的</w:t>
      </w:r>
      <w:r>
        <w:rPr>
          <w:rFonts w:ascii="新細明體" w:hAnsi="新細明體"/>
          <w:sz w:val="28"/>
          <w:szCs w:val="28"/>
          <w:shd w:val="clear" w:color="auto" w:fill="FFFFFF"/>
        </w:rPr>
        <w:t>《</w:t>
      </w:r>
      <w:r>
        <w:rPr>
          <w:rFonts w:ascii="標楷體" w:eastAsia="標楷體" w:hAnsi="標楷體"/>
          <w:sz w:val="28"/>
          <w:szCs w:val="28"/>
          <w:shd w:val="clear" w:color="auto" w:fill="FFFFFF"/>
        </w:rPr>
        <w:t>辦理民事訴訟事件應行注意事項</w:t>
      </w:r>
      <w:r>
        <w:rPr>
          <w:rFonts w:ascii="新細明體" w:hAnsi="新細明體"/>
          <w:sz w:val="28"/>
          <w:szCs w:val="28"/>
          <w:shd w:val="clear" w:color="auto" w:fill="FFFFFF"/>
        </w:rPr>
        <w:t>》</w:t>
      </w:r>
      <w:r>
        <w:rPr>
          <w:rFonts w:ascii="標楷體" w:eastAsia="標楷體" w:hAnsi="標楷體"/>
          <w:sz w:val="28"/>
          <w:szCs w:val="28"/>
          <w:shd w:val="clear" w:color="auto" w:fill="FFFFFF"/>
        </w:rPr>
        <w:t>第</w:t>
      </w:r>
      <w:r>
        <w:rPr>
          <w:rFonts w:ascii="標楷體" w:eastAsia="標楷體" w:hAnsi="標楷體"/>
          <w:sz w:val="28"/>
          <w:szCs w:val="28"/>
          <w:shd w:val="clear" w:color="auto" w:fill="FFFFFF"/>
        </w:rPr>
        <w:t>52</w:t>
      </w:r>
      <w:r>
        <w:rPr>
          <w:rFonts w:ascii="標楷體" w:eastAsia="標楷體" w:hAnsi="標楷體"/>
          <w:sz w:val="28"/>
          <w:szCs w:val="28"/>
          <w:shd w:val="clear" w:color="auto" w:fill="FFFFFF"/>
        </w:rPr>
        <w:t>條、第</w:t>
      </w:r>
      <w:r>
        <w:rPr>
          <w:rFonts w:ascii="標楷體" w:eastAsia="標楷體" w:hAnsi="標楷體"/>
          <w:sz w:val="28"/>
          <w:szCs w:val="28"/>
          <w:shd w:val="clear" w:color="auto" w:fill="FFFFFF"/>
        </w:rPr>
        <w:t>53</w:t>
      </w:r>
      <w:r>
        <w:rPr>
          <w:rFonts w:ascii="標楷體" w:eastAsia="標楷體" w:hAnsi="標楷體"/>
          <w:sz w:val="28"/>
          <w:szCs w:val="28"/>
          <w:shd w:val="clear" w:color="auto" w:fill="FFFFFF"/>
        </w:rPr>
        <w:t>條第</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項等程序規定。另外，</w:t>
      </w:r>
      <w:r>
        <w:rPr>
          <w:rFonts w:ascii="標楷體" w:eastAsia="標楷體" w:hAnsi="標楷體"/>
          <w:sz w:val="28"/>
          <w:szCs w:val="28"/>
        </w:rPr>
        <w:t>柯盛益未讓</w:t>
      </w:r>
      <w:r>
        <w:rPr>
          <w:rFonts w:ascii="標楷體" w:eastAsia="標楷體" w:hAnsi="標楷體"/>
          <w:sz w:val="28"/>
          <w:szCs w:val="28"/>
          <w:shd w:val="clear" w:color="auto" w:fill="FFFFFF"/>
        </w:rPr>
        <w:t>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律師有與當事人溝通的機會，要求應當庭撤回備位聲明的追加；且司法公正首重程序正當，審判筆錄既然具有法定證據資格，訴訟程序與證據調查的進行，自應客觀、忠實的記錄，</w:t>
      </w:r>
      <w:r>
        <w:rPr>
          <w:rFonts w:ascii="標楷體" w:eastAsia="標楷體" w:hAnsi="標楷體"/>
          <w:sz w:val="28"/>
          <w:szCs w:val="28"/>
        </w:rPr>
        <w:t>柯盛益</w:t>
      </w:r>
      <w:r>
        <w:rPr>
          <w:rFonts w:ascii="標楷體" w:eastAsia="標楷體" w:hAnsi="標楷體"/>
          <w:sz w:val="28"/>
          <w:szCs w:val="28"/>
          <w:shd w:val="clear" w:color="auto" w:fill="FFFFFF"/>
        </w:rPr>
        <w:t>於未獲應允的情況下，竟扭曲黃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律師陳述的本旨，</w:t>
      </w:r>
      <w:proofErr w:type="gramStart"/>
      <w:r>
        <w:rPr>
          <w:rFonts w:ascii="標楷體" w:eastAsia="標楷體" w:hAnsi="標楷體"/>
          <w:sz w:val="28"/>
          <w:szCs w:val="28"/>
          <w:shd w:val="clear" w:color="auto" w:fill="FFFFFF"/>
        </w:rPr>
        <w:t>逕</w:t>
      </w:r>
      <w:proofErr w:type="gramEnd"/>
      <w:r>
        <w:rPr>
          <w:rFonts w:ascii="標楷體" w:eastAsia="標楷體" w:hAnsi="標楷體"/>
          <w:sz w:val="28"/>
          <w:szCs w:val="28"/>
          <w:shd w:val="clear" w:color="auto" w:fill="FFFFFF"/>
        </w:rPr>
        <w:t>予指示書記官違反其客觀性義務，於筆錄上記載黃</w:t>
      </w:r>
      <w:r>
        <w:rPr>
          <w:rFonts w:ascii="標楷體" w:eastAsia="標楷體" w:hAnsi="標楷體"/>
          <w:sz w:val="28"/>
          <w:szCs w:val="28"/>
          <w:shd w:val="clear" w:color="auto" w:fill="FFFFFF"/>
        </w:rPr>
        <w:t>○</w:t>
      </w:r>
      <w:proofErr w:type="gramStart"/>
      <w:r>
        <w:rPr>
          <w:rFonts w:ascii="標楷體" w:eastAsia="標楷體" w:hAnsi="標楷體"/>
          <w:sz w:val="28"/>
          <w:szCs w:val="28"/>
          <w:shd w:val="clear" w:color="auto" w:fill="FFFFFF"/>
        </w:rPr>
        <w:t>浩</w:t>
      </w:r>
      <w:proofErr w:type="gramEnd"/>
      <w:r>
        <w:rPr>
          <w:rFonts w:ascii="標楷體" w:eastAsia="標楷體" w:hAnsi="標楷體"/>
          <w:sz w:val="28"/>
          <w:szCs w:val="28"/>
          <w:shd w:val="clear" w:color="auto" w:fill="FFFFFF"/>
        </w:rPr>
        <w:t>律師撤回備位之訴，亦已嚴重違反</w:t>
      </w:r>
      <w:r>
        <w:rPr>
          <w:rFonts w:ascii="新細明體" w:hAnsi="新細明體"/>
          <w:sz w:val="28"/>
          <w:szCs w:val="28"/>
          <w:shd w:val="clear" w:color="auto" w:fill="FFFFFF"/>
        </w:rPr>
        <w:t>《</w:t>
      </w:r>
      <w:r>
        <w:rPr>
          <w:rFonts w:ascii="標楷體" w:eastAsia="標楷體" w:hAnsi="標楷體"/>
          <w:sz w:val="28"/>
          <w:szCs w:val="28"/>
          <w:shd w:val="clear" w:color="auto" w:fill="FFFFFF"/>
        </w:rPr>
        <w:t>民事訴訟法</w:t>
      </w:r>
      <w:r>
        <w:rPr>
          <w:rFonts w:ascii="新細明體" w:hAnsi="新細明體"/>
          <w:sz w:val="28"/>
          <w:szCs w:val="28"/>
          <w:shd w:val="clear" w:color="auto" w:fill="FFFFFF"/>
        </w:rPr>
        <w:t>》</w:t>
      </w:r>
      <w:r>
        <w:rPr>
          <w:rFonts w:ascii="標楷體" w:eastAsia="標楷體" w:hAnsi="標楷體"/>
          <w:sz w:val="28"/>
          <w:szCs w:val="28"/>
          <w:shd w:val="clear" w:color="auto" w:fill="FFFFFF"/>
        </w:rPr>
        <w:t>、</w:t>
      </w:r>
      <w:r>
        <w:rPr>
          <w:rFonts w:ascii="新細明體" w:hAnsi="新細明體"/>
          <w:sz w:val="28"/>
          <w:szCs w:val="28"/>
          <w:shd w:val="clear" w:color="auto" w:fill="FFFFFF"/>
        </w:rPr>
        <w:t>《</w:t>
      </w:r>
      <w:r>
        <w:rPr>
          <w:rFonts w:ascii="標楷體" w:eastAsia="標楷體" w:hAnsi="標楷體"/>
          <w:sz w:val="28"/>
          <w:szCs w:val="28"/>
          <w:shd w:val="clear" w:color="auto" w:fill="FFFFFF"/>
        </w:rPr>
        <w:t>辦理民事訴訟事件應行注意事項</w:t>
      </w:r>
      <w:r>
        <w:rPr>
          <w:rFonts w:ascii="新細明體" w:hAnsi="新細明體"/>
          <w:sz w:val="28"/>
          <w:szCs w:val="28"/>
          <w:shd w:val="clear" w:color="auto" w:fill="FFFFFF"/>
        </w:rPr>
        <w:t>》</w:t>
      </w:r>
      <w:r>
        <w:rPr>
          <w:rFonts w:ascii="標楷體" w:eastAsia="標楷體" w:hAnsi="標楷體"/>
          <w:color w:val="4D4D4D"/>
          <w:sz w:val="28"/>
          <w:szCs w:val="28"/>
          <w:shd w:val="clear" w:color="auto" w:fill="FFFFFF"/>
        </w:rPr>
        <w:t>等相關的程序規定而</w:t>
      </w:r>
      <w:r>
        <w:rPr>
          <w:rFonts w:ascii="標楷體" w:eastAsia="標楷體" w:hAnsi="標楷體"/>
          <w:sz w:val="28"/>
          <w:szCs w:val="28"/>
          <w:shd w:val="clear" w:color="auto" w:fill="FFFFFF"/>
        </w:rPr>
        <w:t>情節重大。至於監察院就柯盛益承審該院</w:t>
      </w:r>
      <w:proofErr w:type="gramStart"/>
      <w:r>
        <w:rPr>
          <w:rFonts w:ascii="標楷體" w:eastAsia="標楷體" w:hAnsi="標楷體"/>
          <w:sz w:val="28"/>
          <w:szCs w:val="28"/>
          <w:shd w:val="clear" w:color="auto" w:fill="FFFFFF"/>
        </w:rPr>
        <w:t>107</w:t>
      </w:r>
      <w:proofErr w:type="gramEnd"/>
      <w:r>
        <w:rPr>
          <w:rFonts w:ascii="標楷體" w:eastAsia="標楷體" w:hAnsi="標楷體"/>
          <w:sz w:val="28"/>
          <w:szCs w:val="28"/>
          <w:shd w:val="clear" w:color="auto" w:fill="FFFFFF"/>
        </w:rPr>
        <w:t>年度</w:t>
      </w:r>
      <w:proofErr w:type="gramStart"/>
      <w:r>
        <w:rPr>
          <w:rFonts w:ascii="標楷體" w:eastAsia="標楷體" w:hAnsi="標楷體"/>
          <w:sz w:val="28"/>
          <w:szCs w:val="28"/>
          <w:shd w:val="clear" w:color="auto" w:fill="FFFFFF"/>
        </w:rPr>
        <w:t>重訴字</w:t>
      </w:r>
      <w:proofErr w:type="gramEnd"/>
      <w:r>
        <w:rPr>
          <w:rFonts w:ascii="標楷體" w:eastAsia="標楷體" w:hAnsi="標楷體"/>
          <w:sz w:val="28"/>
          <w:szCs w:val="28"/>
          <w:shd w:val="clear" w:color="auto" w:fill="FFFFFF"/>
        </w:rPr>
        <w:t>第</w:t>
      </w:r>
      <w:r>
        <w:rPr>
          <w:rFonts w:ascii="標楷體" w:eastAsia="標楷體" w:hAnsi="標楷體"/>
          <w:sz w:val="28"/>
          <w:szCs w:val="28"/>
          <w:shd w:val="clear" w:color="auto" w:fill="FFFFFF"/>
        </w:rPr>
        <w:t>111</w:t>
      </w:r>
      <w:r>
        <w:rPr>
          <w:rFonts w:ascii="標楷體" w:eastAsia="標楷體" w:hAnsi="標楷體"/>
          <w:sz w:val="28"/>
          <w:szCs w:val="28"/>
          <w:shd w:val="clear" w:color="auto" w:fill="FFFFFF"/>
        </w:rPr>
        <w:t>號民事事件，於</w:t>
      </w:r>
      <w:r>
        <w:rPr>
          <w:rFonts w:ascii="標楷體" w:eastAsia="標楷體" w:hAnsi="標楷體"/>
          <w:sz w:val="28"/>
          <w:szCs w:val="28"/>
          <w:shd w:val="clear" w:color="auto" w:fill="FFFFFF"/>
        </w:rPr>
        <w:t>108</w:t>
      </w:r>
      <w:r>
        <w:rPr>
          <w:rFonts w:ascii="標楷體" w:eastAsia="標楷體" w:hAnsi="標楷體"/>
          <w:sz w:val="28"/>
          <w:szCs w:val="28"/>
          <w:shd w:val="clear" w:color="auto" w:fill="FFFFFF"/>
        </w:rPr>
        <w:t>年</w:t>
      </w:r>
      <w:r>
        <w:rPr>
          <w:rFonts w:ascii="標楷體" w:eastAsia="標楷體" w:hAnsi="標楷體"/>
          <w:sz w:val="28"/>
          <w:szCs w:val="28"/>
          <w:shd w:val="clear" w:color="auto" w:fill="FFFFFF"/>
        </w:rPr>
        <w:t>9</w:t>
      </w:r>
      <w:r>
        <w:rPr>
          <w:rFonts w:ascii="標楷體" w:eastAsia="標楷體" w:hAnsi="標楷體"/>
          <w:sz w:val="28"/>
          <w:szCs w:val="28"/>
          <w:shd w:val="clear" w:color="auto" w:fill="FFFFFF"/>
        </w:rPr>
        <w:t>月</w:t>
      </w:r>
      <w:r>
        <w:rPr>
          <w:rFonts w:ascii="標楷體" w:eastAsia="標楷體" w:hAnsi="標楷體"/>
          <w:sz w:val="28"/>
          <w:szCs w:val="28"/>
          <w:shd w:val="clear" w:color="auto" w:fill="FFFFFF"/>
        </w:rPr>
        <w:t>19</w:t>
      </w:r>
      <w:r>
        <w:rPr>
          <w:rFonts w:ascii="標楷體" w:eastAsia="標楷體" w:hAnsi="標楷體"/>
          <w:sz w:val="28"/>
          <w:szCs w:val="28"/>
          <w:shd w:val="clear" w:color="auto" w:fill="FFFFFF"/>
        </w:rPr>
        <w:t>日開庭時所為的違失行為移送</w:t>
      </w:r>
      <w:proofErr w:type="gramStart"/>
      <w:r>
        <w:rPr>
          <w:rFonts w:ascii="標楷體" w:eastAsia="標楷體" w:hAnsi="標楷體"/>
          <w:sz w:val="28"/>
          <w:szCs w:val="28"/>
          <w:shd w:val="clear" w:color="auto" w:fill="FFFFFF"/>
        </w:rPr>
        <w:t>併</w:t>
      </w:r>
      <w:proofErr w:type="gramEnd"/>
      <w:r>
        <w:rPr>
          <w:rFonts w:ascii="標楷體" w:eastAsia="標楷體" w:hAnsi="標楷體"/>
          <w:sz w:val="28"/>
          <w:szCs w:val="28"/>
          <w:shd w:val="clear" w:color="auto" w:fill="FFFFFF"/>
        </w:rPr>
        <w:t>案審理部分，因監察院未</w:t>
      </w:r>
      <w:proofErr w:type="gramStart"/>
      <w:r>
        <w:rPr>
          <w:rFonts w:ascii="標楷體" w:eastAsia="標楷體" w:hAnsi="標楷體"/>
          <w:sz w:val="28"/>
          <w:szCs w:val="28"/>
          <w:shd w:val="clear" w:color="auto" w:fill="FFFFFF"/>
        </w:rPr>
        <w:t>踐行</w:t>
      </w:r>
      <w:proofErr w:type="gramEnd"/>
      <w:r>
        <w:rPr>
          <w:rFonts w:ascii="新細明體" w:hAnsi="新細明體"/>
          <w:sz w:val="28"/>
          <w:szCs w:val="28"/>
          <w:shd w:val="clear" w:color="auto" w:fill="FFFFFF"/>
        </w:rPr>
        <w:t>《</w:t>
      </w:r>
      <w:r>
        <w:rPr>
          <w:rFonts w:ascii="標楷體" w:eastAsia="標楷體" w:hAnsi="標楷體"/>
          <w:sz w:val="28"/>
          <w:szCs w:val="28"/>
          <w:shd w:val="clear" w:color="auto" w:fill="FFFFFF"/>
        </w:rPr>
        <w:t>監察法</w:t>
      </w:r>
      <w:r>
        <w:rPr>
          <w:rFonts w:ascii="新細明體" w:hAnsi="新細明體"/>
          <w:sz w:val="28"/>
          <w:szCs w:val="28"/>
          <w:shd w:val="clear" w:color="auto" w:fill="FFFFFF"/>
        </w:rPr>
        <w:t>》</w:t>
      </w:r>
      <w:r>
        <w:rPr>
          <w:rFonts w:ascii="標楷體" w:eastAsia="標楷體" w:hAnsi="標楷體"/>
          <w:sz w:val="28"/>
          <w:szCs w:val="28"/>
          <w:shd w:val="clear" w:color="auto" w:fill="FFFFFF"/>
        </w:rPr>
        <w:t>第</w:t>
      </w:r>
      <w:r>
        <w:rPr>
          <w:rFonts w:ascii="標楷體" w:eastAsia="標楷體" w:hAnsi="標楷體"/>
          <w:sz w:val="28"/>
          <w:szCs w:val="28"/>
          <w:shd w:val="clear" w:color="auto" w:fill="FFFFFF"/>
        </w:rPr>
        <w:t>8</w:t>
      </w:r>
      <w:r>
        <w:rPr>
          <w:rFonts w:ascii="標楷體" w:eastAsia="標楷體" w:hAnsi="標楷體"/>
          <w:sz w:val="28"/>
          <w:szCs w:val="28"/>
          <w:shd w:val="clear" w:color="auto" w:fill="FFFFFF"/>
        </w:rPr>
        <w:t>條第</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項後段規定的審查程序，其移送程序即非合法，本庭無從</w:t>
      </w:r>
      <w:proofErr w:type="gramStart"/>
      <w:r>
        <w:rPr>
          <w:rFonts w:ascii="標楷體" w:eastAsia="標楷體" w:hAnsi="標楷體"/>
          <w:sz w:val="28"/>
          <w:szCs w:val="28"/>
          <w:shd w:val="clear" w:color="auto" w:fill="FFFFFF"/>
        </w:rPr>
        <w:t>併</w:t>
      </w:r>
      <w:proofErr w:type="gramEnd"/>
      <w:r>
        <w:rPr>
          <w:rFonts w:ascii="標楷體" w:eastAsia="標楷體" w:hAnsi="標楷體"/>
          <w:sz w:val="28"/>
          <w:szCs w:val="28"/>
          <w:shd w:val="clear" w:color="auto" w:fill="FFFFFF"/>
        </w:rPr>
        <w:t>案審理，</w:t>
      </w:r>
      <w:proofErr w:type="gramStart"/>
      <w:r>
        <w:rPr>
          <w:rFonts w:ascii="標楷體" w:eastAsia="標楷體" w:hAnsi="標楷體"/>
          <w:sz w:val="28"/>
          <w:szCs w:val="28"/>
          <w:shd w:val="clear" w:color="auto" w:fill="FFFFFF"/>
        </w:rPr>
        <w:t>附此敘明</w:t>
      </w:r>
      <w:proofErr w:type="gramEnd"/>
      <w:r>
        <w:rPr>
          <w:rFonts w:ascii="標楷體" w:eastAsia="標楷體" w:hAnsi="標楷體"/>
          <w:sz w:val="28"/>
          <w:szCs w:val="28"/>
          <w:shd w:val="clear" w:color="auto" w:fill="FFFFFF"/>
        </w:rPr>
        <w:t>。</w:t>
      </w:r>
    </w:p>
    <w:p w:rsidR="00D3572A" w:rsidRDefault="00844DAF" w:rsidP="0043462D">
      <w:pPr>
        <w:spacing w:line="24pt" w:lineRule="exact"/>
        <w:ind w:start="29.50pt"/>
        <w:jc w:val="both"/>
      </w:pPr>
      <w:r>
        <w:rPr>
          <w:rFonts w:ascii="標楷體" w:eastAsia="標楷體" w:hAnsi="標楷體"/>
          <w:sz w:val="28"/>
          <w:szCs w:val="28"/>
          <w:shd w:val="clear" w:color="auto" w:fill="FFFFFF"/>
        </w:rPr>
        <w:t>柯盛益</w:t>
      </w:r>
      <w:r>
        <w:rPr>
          <w:rFonts w:ascii="標楷體" w:eastAsia="標楷體" w:hAnsi="標楷體" w:cs="新細明體"/>
          <w:kern w:val="0"/>
          <w:sz w:val="28"/>
          <w:szCs w:val="28"/>
        </w:rPr>
        <w:t>之前任職臺灣高雄地方法院（以下簡稱高雄地院）曾因開庭審案態度不良，戕害司法形象，經監察院彈劾，並經公務員懲戒委員會（懲戒法院前身，以下簡稱公懲會）議決休職</w:t>
      </w:r>
      <w:r>
        <w:rPr>
          <w:rFonts w:ascii="標楷體" w:eastAsia="標楷體" w:hAnsi="標楷體" w:cs="新細明體"/>
          <w:kern w:val="0"/>
          <w:sz w:val="28"/>
          <w:szCs w:val="28"/>
        </w:rPr>
        <w:t>1</w:t>
      </w:r>
      <w:r>
        <w:rPr>
          <w:rFonts w:ascii="標楷體" w:eastAsia="標楷體" w:hAnsi="標楷體" w:cs="新細明體"/>
          <w:kern w:val="0"/>
          <w:sz w:val="28"/>
          <w:szCs w:val="28"/>
        </w:rPr>
        <w:t>年的懲戒處分。而柯盛益歷年的年終考績（</w:t>
      </w:r>
      <w:r>
        <w:rPr>
          <w:rFonts w:ascii="標楷體" w:eastAsia="標楷體" w:hAnsi="標楷體" w:cs="新細明體"/>
          <w:kern w:val="0"/>
          <w:sz w:val="28"/>
          <w:szCs w:val="28"/>
        </w:rPr>
        <w:t>101</w:t>
      </w:r>
      <w:r>
        <w:rPr>
          <w:rFonts w:ascii="標楷體" w:eastAsia="標楷體" w:hAnsi="標楷體" w:cs="新細明體"/>
          <w:kern w:val="0"/>
          <w:sz w:val="28"/>
          <w:szCs w:val="28"/>
        </w:rPr>
        <w:t>年</w:t>
      </w:r>
      <w:r>
        <w:rPr>
          <w:rFonts w:ascii="新細明體" w:hAnsi="新細明體"/>
          <w:sz w:val="28"/>
          <w:szCs w:val="28"/>
          <w:shd w:val="clear" w:color="auto" w:fill="FFFFFF"/>
        </w:rPr>
        <w:t>《</w:t>
      </w:r>
      <w:r>
        <w:rPr>
          <w:rFonts w:ascii="標楷體" w:eastAsia="標楷體" w:hAnsi="標楷體" w:cs="新細明體"/>
          <w:kern w:val="0"/>
          <w:sz w:val="28"/>
          <w:szCs w:val="28"/>
        </w:rPr>
        <w:t>法官法</w:t>
      </w:r>
      <w:r>
        <w:rPr>
          <w:rFonts w:ascii="新細明體" w:hAnsi="新細明體"/>
          <w:sz w:val="28"/>
          <w:szCs w:val="28"/>
          <w:shd w:val="clear" w:color="auto" w:fill="FFFFFF"/>
        </w:rPr>
        <w:t>》</w:t>
      </w:r>
      <w:r>
        <w:rPr>
          <w:rFonts w:ascii="標楷體" w:eastAsia="標楷體" w:hAnsi="標楷體" w:cs="新細明體"/>
          <w:kern w:val="0"/>
          <w:sz w:val="28"/>
          <w:szCs w:val="28"/>
        </w:rPr>
        <w:t>施行前）</w:t>
      </w:r>
      <w:r>
        <w:rPr>
          <w:rFonts w:ascii="標楷體" w:eastAsia="標楷體" w:hAnsi="標楷體" w:cs="新細明體"/>
          <w:kern w:val="0"/>
          <w:sz w:val="28"/>
          <w:szCs w:val="28"/>
        </w:rPr>
        <w:lastRenderedPageBreak/>
        <w:t>及職務評定</w:t>
      </w:r>
      <w:proofErr w:type="gramStart"/>
      <w:r>
        <w:rPr>
          <w:rFonts w:ascii="標楷體" w:eastAsia="標楷體" w:hAnsi="標楷體" w:cs="新細明體"/>
          <w:kern w:val="0"/>
          <w:sz w:val="28"/>
          <w:szCs w:val="28"/>
        </w:rPr>
        <w:t>多次考</w:t>
      </w:r>
      <w:proofErr w:type="gramEnd"/>
      <w:r>
        <w:rPr>
          <w:rFonts w:ascii="標楷體" w:eastAsia="標楷體" w:hAnsi="標楷體" w:cs="新細明體"/>
          <w:kern w:val="0"/>
          <w:sz w:val="28"/>
          <w:szCs w:val="28"/>
        </w:rPr>
        <w:t>列乙等、丙等或未達良好，自</w:t>
      </w:r>
      <w:r>
        <w:rPr>
          <w:rFonts w:ascii="標楷體" w:eastAsia="標楷體" w:hAnsi="標楷體" w:cs="新細明體"/>
          <w:kern w:val="0"/>
          <w:sz w:val="28"/>
          <w:szCs w:val="28"/>
        </w:rPr>
        <w:t>102</w:t>
      </w:r>
      <w:r>
        <w:rPr>
          <w:rFonts w:ascii="標楷體" w:eastAsia="標楷體" w:hAnsi="標楷體" w:cs="新細明體"/>
          <w:kern w:val="0"/>
          <w:sz w:val="28"/>
          <w:szCs w:val="28"/>
        </w:rPr>
        <w:t>年</w:t>
      </w:r>
      <w:r>
        <w:rPr>
          <w:rFonts w:ascii="標楷體" w:eastAsia="標楷體" w:hAnsi="標楷體" w:cs="新細明體"/>
          <w:kern w:val="0"/>
          <w:sz w:val="28"/>
          <w:szCs w:val="28"/>
        </w:rPr>
        <w:t>1</w:t>
      </w:r>
      <w:r>
        <w:rPr>
          <w:rFonts w:ascii="標楷體" w:eastAsia="標楷體" w:hAnsi="標楷體" w:cs="新細明體"/>
          <w:kern w:val="0"/>
          <w:sz w:val="28"/>
          <w:szCs w:val="28"/>
        </w:rPr>
        <w:t>月</w:t>
      </w:r>
      <w:r>
        <w:rPr>
          <w:rFonts w:ascii="標楷體" w:eastAsia="標楷體" w:hAnsi="標楷體" w:cs="新細明體"/>
          <w:kern w:val="0"/>
          <w:sz w:val="28"/>
          <w:szCs w:val="28"/>
        </w:rPr>
        <w:t>28</w:t>
      </w:r>
      <w:r>
        <w:rPr>
          <w:rFonts w:ascii="標楷體" w:eastAsia="標楷體" w:hAnsi="標楷體" w:cs="新細明體"/>
          <w:kern w:val="0"/>
          <w:sz w:val="28"/>
          <w:szCs w:val="28"/>
        </w:rPr>
        <w:t>日復職後，於</w:t>
      </w:r>
      <w:r>
        <w:rPr>
          <w:rFonts w:ascii="標楷體" w:eastAsia="標楷體" w:hAnsi="標楷體" w:cs="新細明體"/>
          <w:kern w:val="0"/>
          <w:sz w:val="28"/>
          <w:szCs w:val="28"/>
        </w:rPr>
        <w:t>105</w:t>
      </w:r>
      <w:r>
        <w:rPr>
          <w:rFonts w:ascii="標楷體" w:eastAsia="標楷體" w:hAnsi="標楷體" w:cs="新細明體"/>
          <w:kern w:val="0"/>
          <w:sz w:val="28"/>
          <w:szCs w:val="28"/>
        </w:rPr>
        <w:t>年</w:t>
      </w:r>
      <w:r>
        <w:rPr>
          <w:rFonts w:ascii="標楷體" w:eastAsia="標楷體" w:hAnsi="標楷體" w:cs="新細明體"/>
          <w:kern w:val="0"/>
          <w:sz w:val="28"/>
          <w:szCs w:val="28"/>
        </w:rPr>
        <w:t>3</w:t>
      </w:r>
      <w:r>
        <w:rPr>
          <w:rFonts w:ascii="標楷體" w:eastAsia="標楷體" w:hAnsi="標楷體" w:cs="新細明體"/>
          <w:kern w:val="0"/>
          <w:sz w:val="28"/>
          <w:szCs w:val="28"/>
        </w:rPr>
        <w:t>月</w:t>
      </w:r>
      <w:r>
        <w:rPr>
          <w:rFonts w:ascii="標楷體" w:eastAsia="標楷體" w:hAnsi="標楷體" w:cs="新細明體"/>
          <w:kern w:val="0"/>
          <w:sz w:val="28"/>
          <w:szCs w:val="28"/>
        </w:rPr>
        <w:t>29</w:t>
      </w:r>
      <w:r>
        <w:rPr>
          <w:rFonts w:ascii="標楷體" w:eastAsia="標楷體" w:hAnsi="標楷體" w:cs="新細明體"/>
          <w:kern w:val="0"/>
          <w:sz w:val="28"/>
          <w:szCs w:val="28"/>
        </w:rPr>
        <w:t>日又因審理案件疏忽，經高雄地院給予書面警告</w:t>
      </w:r>
      <w:r>
        <w:rPr>
          <w:rFonts w:ascii="標楷體" w:eastAsia="標楷體" w:hAnsi="標楷體" w:cs="新細明體"/>
          <w:kern w:val="0"/>
          <w:sz w:val="28"/>
          <w:szCs w:val="28"/>
        </w:rPr>
        <w:t>1</w:t>
      </w:r>
      <w:r>
        <w:rPr>
          <w:rFonts w:ascii="標楷體" w:eastAsia="標楷體" w:hAnsi="標楷體" w:cs="新細明體"/>
          <w:kern w:val="0"/>
          <w:sz w:val="28"/>
          <w:szCs w:val="28"/>
        </w:rPr>
        <w:t>次，並將他</w:t>
      </w:r>
      <w:proofErr w:type="gramStart"/>
      <w:r>
        <w:rPr>
          <w:rFonts w:ascii="標楷體" w:eastAsia="標楷體" w:hAnsi="標楷體" w:cs="新細明體"/>
          <w:kern w:val="0"/>
          <w:sz w:val="28"/>
          <w:szCs w:val="28"/>
        </w:rPr>
        <w:t>104</w:t>
      </w:r>
      <w:proofErr w:type="gramEnd"/>
      <w:r>
        <w:rPr>
          <w:rFonts w:ascii="標楷體" w:eastAsia="標楷體" w:hAnsi="標楷體" w:cs="新細明體"/>
          <w:kern w:val="0"/>
          <w:sz w:val="28"/>
          <w:szCs w:val="28"/>
        </w:rPr>
        <w:t>年度的職務評定改列為未達良好。他卻未能記取教訓，仍有前述違失事實，而且辱罵、斥責訴訟當事人或代理人所使用的言語，實已超越人性尊嚴不容侵犯及當事人訴訟權應受保障的憲法基本要求。本庭再審酌他於</w:t>
      </w:r>
      <w:r>
        <w:rPr>
          <w:rFonts w:ascii="標楷體" w:eastAsia="標楷體" w:hAnsi="標楷體" w:cs="新細明體"/>
          <w:kern w:val="0"/>
          <w:sz w:val="28"/>
          <w:szCs w:val="28"/>
        </w:rPr>
        <w:t>108</w:t>
      </w:r>
      <w:r>
        <w:rPr>
          <w:rFonts w:ascii="標楷體" w:eastAsia="標楷體" w:hAnsi="標楷體" w:cs="新細明體"/>
          <w:kern w:val="0"/>
          <w:sz w:val="28"/>
          <w:szCs w:val="28"/>
        </w:rPr>
        <w:t>年</w:t>
      </w:r>
      <w:r>
        <w:rPr>
          <w:rFonts w:ascii="標楷體" w:eastAsia="標楷體" w:hAnsi="標楷體" w:cs="新細明體"/>
          <w:kern w:val="0"/>
          <w:sz w:val="28"/>
          <w:szCs w:val="28"/>
        </w:rPr>
        <w:t>1</w:t>
      </w:r>
      <w:r>
        <w:rPr>
          <w:rFonts w:ascii="標楷體" w:eastAsia="標楷體" w:hAnsi="標楷體" w:cs="新細明體"/>
          <w:kern w:val="0"/>
          <w:sz w:val="28"/>
          <w:szCs w:val="28"/>
        </w:rPr>
        <w:t>、</w:t>
      </w:r>
      <w:r>
        <w:rPr>
          <w:rFonts w:ascii="標楷體" w:eastAsia="標楷體" w:hAnsi="標楷體" w:cs="新細明體"/>
          <w:kern w:val="0"/>
          <w:sz w:val="28"/>
          <w:szCs w:val="28"/>
        </w:rPr>
        <w:t>2</w:t>
      </w:r>
      <w:r>
        <w:rPr>
          <w:rFonts w:ascii="標楷體" w:eastAsia="標楷體" w:hAnsi="標楷體" w:cs="新細明體"/>
          <w:kern w:val="0"/>
          <w:sz w:val="28"/>
          <w:szCs w:val="28"/>
        </w:rPr>
        <w:t>月</w:t>
      </w:r>
      <w:proofErr w:type="gramStart"/>
      <w:r>
        <w:rPr>
          <w:rFonts w:ascii="標楷體" w:eastAsia="標楷體" w:hAnsi="標楷體" w:cs="新細明體"/>
          <w:kern w:val="0"/>
          <w:sz w:val="28"/>
          <w:szCs w:val="28"/>
        </w:rPr>
        <w:t>期間，</w:t>
      </w:r>
      <w:proofErr w:type="gramEnd"/>
      <w:r>
        <w:rPr>
          <w:rFonts w:ascii="標楷體" w:eastAsia="標楷體" w:hAnsi="標楷體" w:cs="新細明體"/>
          <w:kern w:val="0"/>
          <w:sz w:val="28"/>
          <w:szCs w:val="28"/>
        </w:rPr>
        <w:t>在審理</w:t>
      </w:r>
      <w:r>
        <w:rPr>
          <w:rFonts w:ascii="標楷體" w:eastAsia="標楷體" w:hAnsi="標楷體" w:cs="新細明體"/>
          <w:kern w:val="0"/>
          <w:sz w:val="28"/>
          <w:szCs w:val="28"/>
        </w:rPr>
        <w:t>7</w:t>
      </w:r>
      <w:r>
        <w:rPr>
          <w:rFonts w:ascii="標楷體" w:eastAsia="標楷體" w:hAnsi="標楷體" w:cs="新細明體"/>
          <w:kern w:val="0"/>
          <w:sz w:val="28"/>
          <w:szCs w:val="28"/>
        </w:rPr>
        <w:t>件民事事件中，又有前述密集、反覆為之的違失行為，不僅危害司法公正、中立的外觀，嚴重侵害</w:t>
      </w:r>
      <w:r>
        <w:rPr>
          <w:rFonts w:ascii="標楷體" w:eastAsia="標楷體" w:hAnsi="標楷體"/>
          <w:sz w:val="28"/>
          <w:szCs w:val="28"/>
          <w:shd w:val="clear" w:color="auto" w:fill="FFFFFF"/>
        </w:rPr>
        <w:t>當事人受獨立及公正審判的權利，</w:t>
      </w:r>
      <w:r>
        <w:rPr>
          <w:rFonts w:ascii="標楷體" w:eastAsia="標楷體" w:hAnsi="標楷體" w:cs="新細明體"/>
          <w:kern w:val="0"/>
          <w:sz w:val="28"/>
          <w:szCs w:val="28"/>
        </w:rPr>
        <w:t>且損及人民對司法</w:t>
      </w:r>
      <w:r>
        <w:rPr>
          <w:rFonts w:ascii="標楷體" w:eastAsia="標楷體" w:hAnsi="標楷體" w:cs="新細明體"/>
          <w:kern w:val="0"/>
          <w:sz w:val="28"/>
          <w:szCs w:val="28"/>
        </w:rPr>
        <w:t>的信賴，而他的整體違失行為也顯示問題的共同根源，在於他的人格不穩定、無法控制自身情緒，依法自應予以懲戒。</w:t>
      </w:r>
    </w:p>
    <w:p w:rsidR="00D3572A" w:rsidRDefault="00844DAF" w:rsidP="0043462D">
      <w:pPr>
        <w:spacing w:line="24pt" w:lineRule="exact"/>
        <w:ind w:start="26.65pt" w:hanging="26.65pt"/>
        <w:jc w:val="both"/>
      </w:pPr>
      <w:r>
        <w:rPr>
          <w:rFonts w:ascii="標楷體" w:eastAsia="標楷體" w:hAnsi="標楷體"/>
          <w:b/>
          <w:sz w:val="32"/>
          <w:szCs w:val="32"/>
        </w:rPr>
        <w:t>（二）柯盛益</w:t>
      </w:r>
      <w:r>
        <w:rPr>
          <w:rFonts w:ascii="標楷體" w:eastAsia="標楷體" w:hAnsi="標楷體" w:cs="新細明體"/>
          <w:b/>
          <w:kern w:val="0"/>
          <w:sz w:val="32"/>
          <w:szCs w:val="32"/>
        </w:rPr>
        <w:t>應處以免除法官職務，轉任司法事務官的</w:t>
      </w:r>
      <w:r>
        <w:rPr>
          <w:rFonts w:ascii="標楷體" w:eastAsia="標楷體" w:hAnsi="標楷體"/>
          <w:b/>
          <w:sz w:val="32"/>
          <w:szCs w:val="32"/>
        </w:rPr>
        <w:t>理由</w:t>
      </w:r>
    </w:p>
    <w:p w:rsidR="00D3572A" w:rsidRDefault="00844DAF" w:rsidP="0043462D">
      <w:pPr>
        <w:spacing w:line="24pt" w:lineRule="exact"/>
        <w:ind w:start="29.40pt"/>
        <w:jc w:val="both"/>
      </w:pPr>
      <w:r>
        <w:rPr>
          <w:rFonts w:ascii="標楷體" w:eastAsia="標楷體" w:hAnsi="標楷體"/>
          <w:sz w:val="28"/>
          <w:szCs w:val="28"/>
          <w:shd w:val="clear" w:color="auto" w:fill="FFFFFF"/>
        </w:rPr>
        <w:t>本庭合併觀察、一體評價柯盛益在承審的</w:t>
      </w:r>
      <w:r>
        <w:rPr>
          <w:rFonts w:ascii="標楷體" w:eastAsia="標楷體" w:hAnsi="標楷體"/>
          <w:sz w:val="28"/>
          <w:szCs w:val="28"/>
          <w:shd w:val="clear" w:color="auto" w:fill="FFFFFF"/>
        </w:rPr>
        <w:t>7</w:t>
      </w:r>
      <w:r>
        <w:rPr>
          <w:rFonts w:ascii="標楷體" w:eastAsia="標楷體" w:hAnsi="標楷體"/>
          <w:sz w:val="28"/>
          <w:szCs w:val="28"/>
          <w:shd w:val="clear" w:color="auto" w:fill="FFFFFF"/>
        </w:rPr>
        <w:t>件民事事件中所為的違失行為，可見並非僅偶發的單一事件；他所為不僅嚴重違反當事人聽審權、公正程序請求權，並且對法官職位尊嚴、職務信任及司法形象造成嚴重損害；再綜合他之前曾因開庭審案態度不良而遭懲戒、他的行為所表彰的人格圖</w:t>
      </w:r>
      <w:proofErr w:type="gramStart"/>
      <w:r>
        <w:rPr>
          <w:rFonts w:ascii="標楷體" w:eastAsia="標楷體" w:hAnsi="標楷體"/>
          <w:sz w:val="28"/>
          <w:szCs w:val="28"/>
          <w:shd w:val="clear" w:color="auto" w:fill="FFFFFF"/>
        </w:rPr>
        <w:t>象</w:t>
      </w:r>
      <w:proofErr w:type="gramEnd"/>
      <w:r>
        <w:rPr>
          <w:rFonts w:ascii="標楷體" w:eastAsia="標楷體" w:hAnsi="標楷體"/>
          <w:sz w:val="28"/>
          <w:szCs w:val="28"/>
          <w:shd w:val="clear" w:color="auto" w:fill="FFFFFF"/>
        </w:rPr>
        <w:t>、對案件的審理態度，以及他於監察院詢問時供稱：「是我個人的警覺性不夠，開庭時沒有注意到這個部分</w:t>
      </w:r>
      <w:r>
        <w:rPr>
          <w:rFonts w:ascii="標楷體" w:eastAsia="標楷體" w:hAnsi="標楷體"/>
          <w:sz w:val="28"/>
          <w:szCs w:val="28"/>
          <w:shd w:val="clear" w:color="auto" w:fill="FFFFFF"/>
        </w:rPr>
        <w:t>，對於相關的彈劾、懲戒我都可以接受」、「這個大概就是與個人的修養有比較大的關聯，我都跟配股的書記官講說我們柯家沒有一個有好脾氣的，而從上一次被懲戒後我就已經透過佛教及佛經來提升自己的修為，但是本性要改可能真的沒有這麼快」等語，</w:t>
      </w:r>
      <w:proofErr w:type="gramStart"/>
      <w:r>
        <w:rPr>
          <w:rFonts w:ascii="標楷體" w:eastAsia="標楷體" w:hAnsi="標楷體"/>
          <w:sz w:val="28"/>
          <w:szCs w:val="28"/>
          <w:shd w:val="clear" w:color="auto" w:fill="FFFFFF"/>
        </w:rPr>
        <w:t>堪認他</w:t>
      </w:r>
      <w:proofErr w:type="gramEnd"/>
      <w:r>
        <w:rPr>
          <w:rFonts w:ascii="標楷體" w:eastAsia="標楷體" w:hAnsi="標楷體"/>
          <w:sz w:val="28"/>
          <w:szCs w:val="28"/>
          <w:shd w:val="clear" w:color="auto" w:fill="FFFFFF"/>
        </w:rPr>
        <w:t>已表達悔意，對於自己不適任法官職位已有所體認。綜上，本庭認定柯盛益雖未達應剝奪其擔任一般公務員資格的程度，但已不宜續任法官職務，而應予免除法官職務，同時參酌司法院意見，處以轉任司法事務官職務的處分，以達懲戒目的，並符合責罰相當及比例原則。</w:t>
      </w:r>
    </w:p>
    <w:p w:rsidR="00D3572A" w:rsidRDefault="00844DAF" w:rsidP="0043462D">
      <w:pPr>
        <w:autoSpaceDE w:val="0"/>
        <w:spacing w:line="24pt" w:lineRule="exact"/>
        <w:jc w:val="both"/>
        <w:rPr>
          <w:rFonts w:ascii="標楷體" w:eastAsia="標楷體" w:hAnsi="標楷體" w:cs="新細明體"/>
          <w:b/>
          <w:kern w:val="0"/>
          <w:sz w:val="32"/>
          <w:szCs w:val="32"/>
        </w:rPr>
      </w:pPr>
      <w:r>
        <w:rPr>
          <w:rFonts w:ascii="標楷體" w:eastAsia="標楷體" w:hAnsi="標楷體" w:cs="新細明體"/>
          <w:b/>
          <w:kern w:val="0"/>
          <w:sz w:val="32"/>
          <w:szCs w:val="32"/>
        </w:rPr>
        <w:t>四、本次判決後得否上訴的權限</w:t>
      </w:r>
    </w:p>
    <w:p w:rsidR="00D3572A" w:rsidRDefault="00844DAF" w:rsidP="0043462D">
      <w:pPr>
        <w:autoSpaceDE w:val="0"/>
        <w:spacing w:line="24pt" w:lineRule="exact"/>
        <w:jc w:val="both"/>
      </w:pPr>
      <w:r>
        <w:t xml:space="preserve">    </w:t>
      </w:r>
      <w:r>
        <w:rPr>
          <w:rFonts w:ascii="標楷體" w:eastAsia="標楷體" w:hAnsi="標楷體"/>
          <w:sz w:val="28"/>
          <w:szCs w:val="28"/>
        </w:rPr>
        <w:t xml:space="preserve">   </w:t>
      </w:r>
      <w:r>
        <w:rPr>
          <w:rFonts w:ascii="標楷體" w:eastAsia="標楷體" w:hAnsi="標楷體"/>
          <w:sz w:val="28"/>
          <w:szCs w:val="28"/>
        </w:rPr>
        <w:t>監察院、</w:t>
      </w:r>
      <w:proofErr w:type="gramStart"/>
      <w:r>
        <w:rPr>
          <w:rFonts w:ascii="標楷體" w:eastAsia="標楷體" w:hAnsi="標楷體"/>
          <w:sz w:val="28"/>
          <w:szCs w:val="28"/>
        </w:rPr>
        <w:t>柯盛益均得上訴</w:t>
      </w:r>
      <w:proofErr w:type="gramEnd"/>
      <w:r>
        <w:rPr>
          <w:rFonts w:ascii="標楷體" w:eastAsia="標楷體" w:hAnsi="標楷體"/>
          <w:sz w:val="28"/>
          <w:szCs w:val="28"/>
        </w:rPr>
        <w:t>。</w:t>
      </w:r>
    </w:p>
    <w:p w:rsidR="00D3572A" w:rsidRDefault="00844DAF" w:rsidP="0043462D">
      <w:pPr>
        <w:spacing w:line="24pt" w:lineRule="exact"/>
        <w:ind w:start="41.95pt" w:hanging="41.95pt"/>
        <w:jc w:val="both"/>
        <w:rPr>
          <w:rFonts w:ascii="標楷體" w:eastAsia="標楷體" w:hAnsi="標楷體"/>
          <w:b/>
          <w:sz w:val="32"/>
          <w:szCs w:val="32"/>
        </w:rPr>
      </w:pPr>
      <w:r>
        <w:rPr>
          <w:rFonts w:ascii="標楷體" w:eastAsia="標楷體" w:hAnsi="標楷體"/>
          <w:b/>
          <w:sz w:val="32"/>
          <w:szCs w:val="32"/>
        </w:rPr>
        <w:lastRenderedPageBreak/>
        <w:t>五、合議庭成員</w:t>
      </w:r>
    </w:p>
    <w:p w:rsidR="0043462D" w:rsidRDefault="00844DAF" w:rsidP="0043462D">
      <w:pPr>
        <w:spacing w:line="24pt" w:lineRule="exact"/>
        <w:ind w:start="28pt" w:hanging="28p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審判長法官吳景源（懲戒法院法官）、陪席法官王俊雄（最高行政法院法官）、受命法官林孟皇（</w:t>
      </w:r>
      <w:proofErr w:type="gramStart"/>
      <w:r>
        <w:rPr>
          <w:rFonts w:ascii="標楷體" w:eastAsia="標楷體" w:hAnsi="標楷體"/>
          <w:sz w:val="28"/>
          <w:szCs w:val="28"/>
        </w:rPr>
        <w:t>臺</w:t>
      </w:r>
      <w:proofErr w:type="gramEnd"/>
      <w:r>
        <w:rPr>
          <w:rFonts w:ascii="標楷體" w:eastAsia="標楷體" w:hAnsi="標楷體"/>
          <w:sz w:val="28"/>
          <w:szCs w:val="28"/>
        </w:rPr>
        <w:t>北地方法院法官）、參審員</w:t>
      </w:r>
      <w:r>
        <w:rPr>
          <w:rFonts w:ascii="標楷體" w:eastAsia="標楷體" w:hAnsi="標楷體" w:cs="Arial"/>
          <w:sz w:val="28"/>
          <w:szCs w:val="28"/>
        </w:rPr>
        <w:t>沈瓊桃</w:t>
      </w:r>
      <w:r>
        <w:rPr>
          <w:rFonts w:ascii="標楷體" w:eastAsia="標楷體" w:hAnsi="標楷體"/>
          <w:sz w:val="28"/>
          <w:szCs w:val="28"/>
        </w:rPr>
        <w:t>（</w:t>
      </w:r>
      <w:r>
        <w:rPr>
          <w:rFonts w:ascii="標楷體" w:eastAsia="標楷體" w:hAnsi="標楷體" w:cs="Arial"/>
          <w:sz w:val="28"/>
          <w:szCs w:val="28"/>
        </w:rPr>
        <w:t>國立臺灣大學社會工作學系教授</w:t>
      </w:r>
      <w:r>
        <w:rPr>
          <w:rFonts w:ascii="標楷體" w:eastAsia="標楷體" w:hAnsi="標楷體"/>
          <w:sz w:val="28"/>
          <w:szCs w:val="28"/>
        </w:rPr>
        <w:t>）、</w:t>
      </w:r>
      <w:r>
        <w:rPr>
          <w:rFonts w:ascii="標楷體" w:eastAsia="標楷體" w:hAnsi="標楷體" w:cs="Arial"/>
          <w:kern w:val="0"/>
          <w:sz w:val="28"/>
          <w:szCs w:val="28"/>
        </w:rPr>
        <w:t>程明修</w:t>
      </w:r>
      <w:r>
        <w:rPr>
          <w:rFonts w:ascii="標楷體" w:eastAsia="標楷體" w:hAnsi="標楷體"/>
          <w:sz w:val="28"/>
          <w:szCs w:val="28"/>
        </w:rPr>
        <w:t>（</w:t>
      </w:r>
      <w:r>
        <w:rPr>
          <w:rFonts w:ascii="標楷體" w:eastAsia="標楷體" w:hAnsi="標楷體" w:cs="Arial"/>
          <w:kern w:val="0"/>
          <w:sz w:val="28"/>
          <w:szCs w:val="28"/>
        </w:rPr>
        <w:t>東吳大學法律學系教授</w:t>
      </w:r>
      <w:r>
        <w:rPr>
          <w:rFonts w:ascii="標楷體" w:eastAsia="標楷體" w:hAnsi="標楷體"/>
          <w:sz w:val="28"/>
          <w:szCs w:val="28"/>
        </w:rPr>
        <w:t>）。</w:t>
      </w:r>
    </w:p>
    <w:p w:rsidR="0043462D" w:rsidRDefault="0043462D">
      <w:pPr>
        <w:widowControl/>
        <w:suppressAutoHyphens w:val="0"/>
        <w:rPr>
          <w:rFonts w:ascii="標楷體" w:eastAsia="標楷體" w:hAnsi="標楷體"/>
          <w:sz w:val="28"/>
          <w:szCs w:val="28"/>
        </w:rPr>
      </w:pPr>
      <w:r>
        <w:rPr>
          <w:rFonts w:ascii="標楷體" w:eastAsia="標楷體" w:hAnsi="標楷體"/>
          <w:sz w:val="28"/>
          <w:szCs w:val="28"/>
        </w:rPr>
        <w:br w:type="page"/>
      </w:r>
    </w:p>
    <w:p w:rsidR="00D3572A" w:rsidRDefault="00844DAF">
      <w:pPr>
        <w:spacing w:line="18pt" w:lineRule="auto"/>
        <w:rPr>
          <w:rFonts w:ascii="標楷體" w:eastAsia="標楷體" w:hAnsi="標楷體"/>
          <w:b/>
          <w:sz w:val="32"/>
          <w:szCs w:val="32"/>
        </w:rPr>
      </w:pPr>
      <w:r>
        <w:rPr>
          <w:rFonts w:ascii="標楷體" w:eastAsia="標楷體" w:hAnsi="標楷體"/>
          <w:b/>
          <w:sz w:val="32"/>
          <w:szCs w:val="32"/>
        </w:rPr>
        <w:lastRenderedPageBreak/>
        <w:t>附錄本案相關法條</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rPr>
          <w:rFonts w:ascii="標楷體" w:eastAsia="標楷體" w:hAnsi="標楷體" w:cs="細明體"/>
          <w:b/>
          <w:kern w:val="0"/>
          <w:sz w:val="28"/>
          <w:szCs w:val="28"/>
        </w:rPr>
      </w:pPr>
      <w:r>
        <w:rPr>
          <w:rFonts w:ascii="標楷體" w:eastAsia="標楷體" w:hAnsi="標楷體" w:cs="細明體"/>
          <w:b/>
          <w:kern w:val="0"/>
          <w:sz w:val="28"/>
          <w:szCs w:val="28"/>
        </w:rPr>
        <w:t>法官法</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30</w:t>
      </w:r>
      <w:r>
        <w:rPr>
          <w:rFonts w:ascii="標楷體" w:eastAsia="標楷體" w:hAnsi="標楷體" w:cs="細明體"/>
          <w:b/>
          <w:kern w:val="0"/>
          <w:sz w:val="28"/>
          <w:szCs w:val="28"/>
        </w:rPr>
        <w:t>條（法官個案評鑑之機制）</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司法院設法官評鑑委員會，掌理法官之評鑑。</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法官有下列各款情事之</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者，應付個案評鑑：</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ind w:start="28.35pt" w:hanging="28.35pt"/>
        <w:rPr>
          <w:rFonts w:ascii="標楷體" w:eastAsia="標楷體" w:hAnsi="標楷體" w:cs="細明體"/>
          <w:kern w:val="0"/>
          <w:sz w:val="28"/>
          <w:szCs w:val="28"/>
        </w:rPr>
      </w:pPr>
      <w:r>
        <w:rPr>
          <w:rFonts w:ascii="標楷體" w:eastAsia="標楷體" w:hAnsi="標楷體" w:cs="細明體"/>
          <w:kern w:val="0"/>
          <w:sz w:val="28"/>
          <w:szCs w:val="28"/>
        </w:rPr>
        <w:t>一、裁判確定後或自第一審</w:t>
      </w:r>
      <w:proofErr w:type="gramStart"/>
      <w:r>
        <w:rPr>
          <w:rFonts w:ascii="標楷體" w:eastAsia="標楷體" w:hAnsi="標楷體" w:cs="細明體"/>
          <w:kern w:val="0"/>
          <w:sz w:val="28"/>
          <w:szCs w:val="28"/>
        </w:rPr>
        <w:t>繫</w:t>
      </w:r>
      <w:proofErr w:type="gramEnd"/>
      <w:r>
        <w:rPr>
          <w:rFonts w:ascii="標楷體" w:eastAsia="標楷體" w:hAnsi="標楷體" w:cs="細明體"/>
          <w:kern w:val="0"/>
          <w:sz w:val="28"/>
          <w:szCs w:val="28"/>
        </w:rPr>
        <w:t>屬日起已逾六年未能裁判確定之案件，有事實足認因故意或重大過失，致審判案件有明顯重大違誤，而嚴重侵害人民權益者。</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二、有第二十一條第一項第二款情事，情節重大。</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三、違反第十五條第二項、第三項規定。</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四、違反第十五條第一項、第十六條或第十八條規定，情節重大。</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r>
        <w:rPr>
          <w:rFonts w:ascii="標楷體" w:eastAsia="標楷體" w:hAnsi="標楷體" w:cs="細明體"/>
          <w:b/>
          <w:kern w:val="0"/>
          <w:sz w:val="28"/>
          <w:szCs w:val="28"/>
        </w:rPr>
        <w:t>五、嚴重違反辦案程序規定或職務規定，情節重大。</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六、無正當理由遲延案件之進行，致影響當事人權益，情節重大。</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r>
        <w:rPr>
          <w:rFonts w:ascii="標楷體" w:eastAsia="標楷體" w:hAnsi="標楷體" w:cs="細明體"/>
          <w:b/>
          <w:kern w:val="0"/>
          <w:sz w:val="28"/>
          <w:szCs w:val="28"/>
        </w:rPr>
        <w:t>七、違反法官倫理規範，情節重大。</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適用法律之見解，不得據為法官個案評鑑之事由。</w:t>
      </w:r>
    </w:p>
    <w:p w:rsidR="00D3572A" w:rsidRDefault="00D3572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rPr>
          <w:rFonts w:ascii="標楷體" w:eastAsia="標楷體" w:hAnsi="標楷體" w:cs="細明體"/>
          <w:b/>
          <w:kern w:val="0"/>
          <w:sz w:val="28"/>
          <w:szCs w:val="28"/>
        </w:rPr>
      </w:pPr>
      <w:r>
        <w:rPr>
          <w:rFonts w:ascii="標楷體" w:eastAsia="標楷體" w:hAnsi="標楷體" w:cs="細明體"/>
          <w:b/>
          <w:kern w:val="0"/>
          <w:sz w:val="28"/>
          <w:szCs w:val="28"/>
        </w:rPr>
        <w:t>法官法</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48</w:t>
      </w:r>
      <w:r>
        <w:rPr>
          <w:rFonts w:ascii="標楷體" w:eastAsia="標楷體" w:hAnsi="標楷體" w:cs="細明體"/>
          <w:b/>
          <w:kern w:val="0"/>
          <w:sz w:val="28"/>
          <w:szCs w:val="28"/>
        </w:rPr>
        <w:t>條（職務法庭第一審及法官懲戒案件之合議庭組成）</w:t>
      </w:r>
    </w:p>
    <w:p w:rsidR="00D3572A" w:rsidRDefault="00844DAF">
      <w:pPr>
        <w:widowControl/>
        <w:shd w:val="clear" w:color="auto" w:fill="FFFFFF"/>
        <w:suppressAutoHyphens w:val="0"/>
        <w:spacing w:line="22pt" w:lineRule="exact"/>
        <w:textAlignment w:val="auto"/>
      </w:pPr>
      <w:r>
        <w:rPr>
          <w:rFonts w:ascii="標楷體" w:eastAsia="標楷體" w:hAnsi="標楷體" w:cs="Arial"/>
          <w:color w:val="000000"/>
          <w:kern w:val="0"/>
          <w:sz w:val="28"/>
          <w:szCs w:val="28"/>
        </w:rPr>
        <w:t>職務法庭第一審案件之審理及裁判，以懲戒法院法官</w:t>
      </w:r>
      <w:proofErr w:type="gramStart"/>
      <w:r>
        <w:rPr>
          <w:rFonts w:ascii="標楷體" w:eastAsia="標楷體" w:hAnsi="標楷體" w:cs="Arial"/>
          <w:color w:val="000000"/>
          <w:kern w:val="0"/>
          <w:sz w:val="28"/>
          <w:szCs w:val="28"/>
        </w:rPr>
        <w:t>一</w:t>
      </w:r>
      <w:proofErr w:type="gramEnd"/>
      <w:r>
        <w:rPr>
          <w:rFonts w:ascii="標楷體" w:eastAsia="標楷體" w:hAnsi="標楷體" w:cs="Arial"/>
          <w:color w:val="000000"/>
          <w:kern w:val="0"/>
          <w:sz w:val="28"/>
          <w:szCs w:val="28"/>
        </w:rPr>
        <w:t>人為審判長，與法官二人為陪席法官組成合議庭行之。</w:t>
      </w:r>
      <w:r>
        <w:rPr>
          <w:rFonts w:ascii="標楷體" w:eastAsia="標楷體" w:hAnsi="標楷體" w:cs="Arial"/>
          <w:b/>
          <w:color w:val="000000"/>
          <w:kern w:val="0"/>
          <w:sz w:val="28"/>
          <w:szCs w:val="28"/>
        </w:rPr>
        <w:t>但審理法官懲戒案件時，應增加參審員二人為合議庭成員。</w:t>
      </w:r>
    </w:p>
    <w:p w:rsidR="00D3572A" w:rsidRDefault="00844DAF">
      <w:pPr>
        <w:widowControl/>
        <w:shd w:val="clear" w:color="auto" w:fill="FFFFFF"/>
        <w:suppressAutoHyphens w:val="0"/>
        <w:spacing w:line="22pt" w:lineRule="exact"/>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前項合議庭之法官應至少一人與當事人法官為同審判系統；於審理司法院大法官懲戒案件時，陪席法官應全部以最高法院、最高行政法院法官充之。</w:t>
      </w:r>
    </w:p>
    <w:p w:rsidR="00D3572A" w:rsidRDefault="00844DAF">
      <w:pPr>
        <w:widowControl/>
        <w:shd w:val="clear" w:color="auto" w:fill="FFFFFF"/>
        <w:suppressAutoHyphens w:val="0"/>
        <w:spacing w:line="22pt" w:lineRule="exact"/>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第一項之陪席法官，須具備實任法官十年以上之資歷，由司法院法官遴選委員會</w:t>
      </w:r>
      <w:proofErr w:type="gramStart"/>
      <w:r>
        <w:rPr>
          <w:rFonts w:ascii="標楷體" w:eastAsia="標楷體" w:hAnsi="標楷體" w:cs="Arial"/>
          <w:color w:val="000000"/>
          <w:kern w:val="0"/>
          <w:sz w:val="28"/>
          <w:szCs w:val="28"/>
        </w:rPr>
        <w:t>遴</w:t>
      </w:r>
      <w:proofErr w:type="gramEnd"/>
      <w:r>
        <w:rPr>
          <w:rFonts w:ascii="標楷體" w:eastAsia="標楷體" w:hAnsi="標楷體" w:cs="Arial"/>
          <w:color w:val="000000"/>
          <w:kern w:val="0"/>
          <w:sz w:val="28"/>
          <w:szCs w:val="28"/>
        </w:rPr>
        <w:t>定普通法院、行政法院法官各三人，提請司法院院長任命，任期三年，得連任。其人數並得視業務需要增加之。</w:t>
      </w:r>
    </w:p>
    <w:p w:rsidR="00D3572A" w:rsidRDefault="00844DAF">
      <w:pPr>
        <w:widowControl/>
        <w:shd w:val="clear" w:color="auto" w:fill="FFFFFF"/>
        <w:suppressAutoHyphens w:val="0"/>
        <w:spacing w:line="22pt" w:lineRule="exact"/>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各法院院長不得為職務法庭之陪席法官。</w:t>
      </w:r>
    </w:p>
    <w:p w:rsidR="00D3572A" w:rsidRDefault="00844DAF">
      <w:pPr>
        <w:widowControl/>
        <w:shd w:val="clear" w:color="auto" w:fill="FFFFFF"/>
        <w:suppressAutoHyphens w:val="0"/>
        <w:spacing w:line="22pt" w:lineRule="exact"/>
        <w:textAlignment w:val="auto"/>
        <w:rPr>
          <w:rFonts w:ascii="標楷體" w:eastAsia="標楷體" w:hAnsi="標楷體" w:cs="Arial"/>
          <w:b/>
          <w:color w:val="000000"/>
          <w:kern w:val="0"/>
          <w:sz w:val="28"/>
          <w:szCs w:val="28"/>
        </w:rPr>
      </w:pPr>
      <w:r>
        <w:rPr>
          <w:rFonts w:ascii="標楷體" w:eastAsia="標楷體" w:hAnsi="標楷體" w:cs="Arial"/>
          <w:b/>
          <w:color w:val="000000"/>
          <w:kern w:val="0"/>
          <w:sz w:val="28"/>
          <w:szCs w:val="28"/>
        </w:rPr>
        <w:t>第一項但書之參審員，由司法院法官遴選委員會</w:t>
      </w:r>
      <w:proofErr w:type="gramStart"/>
      <w:r>
        <w:rPr>
          <w:rFonts w:ascii="標楷體" w:eastAsia="標楷體" w:hAnsi="標楷體" w:cs="Arial"/>
          <w:b/>
          <w:color w:val="000000"/>
          <w:kern w:val="0"/>
          <w:sz w:val="28"/>
          <w:szCs w:val="28"/>
        </w:rPr>
        <w:t>遴</w:t>
      </w:r>
      <w:proofErr w:type="gramEnd"/>
      <w:r>
        <w:rPr>
          <w:rFonts w:ascii="標楷體" w:eastAsia="標楷體" w:hAnsi="標楷體" w:cs="Arial"/>
          <w:b/>
          <w:color w:val="000000"/>
          <w:kern w:val="0"/>
          <w:sz w:val="28"/>
          <w:szCs w:val="28"/>
        </w:rPr>
        <w:t>定學者及社會公正人士六人，提請司法院院長任命，任期三年，不得連任。其人數並得視業務需要增加之。</w:t>
      </w:r>
    </w:p>
    <w:p w:rsidR="00D3572A" w:rsidRDefault="00844DAF">
      <w:pPr>
        <w:widowControl/>
        <w:shd w:val="clear" w:color="auto" w:fill="FFFFFF"/>
        <w:suppressAutoHyphens w:val="0"/>
        <w:spacing w:line="22pt" w:lineRule="exact"/>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lastRenderedPageBreak/>
        <w:t>有下列情形之</w:t>
      </w:r>
      <w:proofErr w:type="gramStart"/>
      <w:r>
        <w:rPr>
          <w:rFonts w:ascii="標楷體" w:eastAsia="標楷體" w:hAnsi="標楷體" w:cs="Arial"/>
          <w:color w:val="000000"/>
          <w:kern w:val="0"/>
          <w:sz w:val="28"/>
          <w:szCs w:val="28"/>
        </w:rPr>
        <w:t>一</w:t>
      </w:r>
      <w:proofErr w:type="gramEnd"/>
      <w:r>
        <w:rPr>
          <w:rFonts w:ascii="標楷體" w:eastAsia="標楷體" w:hAnsi="標楷體" w:cs="Arial"/>
          <w:color w:val="000000"/>
          <w:kern w:val="0"/>
          <w:sz w:val="28"/>
          <w:szCs w:val="28"/>
        </w:rPr>
        <w:t>者，不得擔任參審員：</w:t>
      </w:r>
    </w:p>
    <w:p w:rsidR="00D3572A" w:rsidRDefault="00844DAF">
      <w:pPr>
        <w:widowControl/>
        <w:shd w:val="clear" w:color="auto" w:fill="FFFFFF"/>
        <w:suppressAutoHyphens w:val="0"/>
        <w:spacing w:line="22pt" w:lineRule="exact"/>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一、全國性及各地方律師公會之現任理事長。</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ind w:start="28.35pt" w:hanging="28.35pt"/>
        <w:rPr>
          <w:rFonts w:ascii="標楷體" w:eastAsia="標楷體" w:hAnsi="標楷體" w:cs="細明體"/>
          <w:kern w:val="0"/>
          <w:sz w:val="28"/>
          <w:szCs w:val="28"/>
        </w:rPr>
      </w:pPr>
      <w:r>
        <w:rPr>
          <w:rFonts w:ascii="標楷體" w:eastAsia="標楷體" w:hAnsi="標楷體" w:cs="細明體"/>
          <w:kern w:val="0"/>
          <w:sz w:val="28"/>
          <w:szCs w:val="28"/>
        </w:rPr>
        <w:t>二、公務人員。但公立各級學校及學術研究機構之教學、研究人員不在此限。</w:t>
      </w:r>
    </w:p>
    <w:p w:rsidR="00D3572A" w:rsidRDefault="00844DAF">
      <w:pPr>
        <w:widowControl/>
        <w:shd w:val="clear" w:color="auto" w:fill="FFFFFF"/>
        <w:suppressAutoHyphens w:val="0"/>
        <w:spacing w:line="22pt" w:lineRule="exact"/>
        <w:textAlignment w:val="auto"/>
      </w:pPr>
      <w:r>
        <w:rPr>
          <w:rFonts w:ascii="標楷體" w:eastAsia="標楷體" w:hAnsi="標楷體" w:cs="Arial"/>
          <w:color w:val="000000"/>
          <w:kern w:val="0"/>
          <w:sz w:val="28"/>
          <w:szCs w:val="28"/>
        </w:rPr>
        <w:t>三、政黨黨務工作人員。</w:t>
      </w:r>
    </w:p>
    <w:p w:rsidR="00D3572A" w:rsidRDefault="00D3572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rPr>
          <w:rFonts w:ascii="標楷體" w:eastAsia="標楷體" w:hAnsi="標楷體" w:cs="細明體"/>
          <w:b/>
          <w:kern w:val="0"/>
          <w:sz w:val="28"/>
          <w:szCs w:val="28"/>
        </w:rPr>
      </w:pPr>
      <w:r>
        <w:rPr>
          <w:rFonts w:ascii="標楷體" w:eastAsia="標楷體" w:hAnsi="標楷體" w:cs="細明體"/>
          <w:b/>
          <w:kern w:val="0"/>
          <w:sz w:val="28"/>
          <w:szCs w:val="28"/>
        </w:rPr>
        <w:t>法官法</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49</w:t>
      </w:r>
      <w:r>
        <w:rPr>
          <w:rFonts w:ascii="標楷體" w:eastAsia="標楷體" w:hAnsi="標楷體" w:cs="細明體"/>
          <w:b/>
          <w:kern w:val="0"/>
          <w:sz w:val="28"/>
          <w:szCs w:val="28"/>
        </w:rPr>
        <w:t>條（法官之懲戒）</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r>
        <w:rPr>
          <w:rFonts w:ascii="標楷體" w:eastAsia="標楷體" w:hAnsi="標楷體" w:cs="細明體"/>
          <w:b/>
          <w:kern w:val="0"/>
          <w:sz w:val="28"/>
          <w:szCs w:val="28"/>
        </w:rPr>
        <w:t>法官有第三十條第二項各款所列情事之一，有懲戒之必要者，應受懲戒。</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適用法律之見解，不得據為法官懲戒之事由。</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法官應受懲戒之同一行為，不受二次懲戒。同一行為已經職務法庭為懲戒、不受懲戒或免議之判決確定者，其原懲處失其效力。</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法官應受懲戒之同一行為已受刑罰或行政罰之處罰者，仍得予以懲戒。其同一行為不受刑罰或行政罰之處罰者，亦同。但情節輕微，如予懲戒顯失公平者，無須再予懲戒。</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懲戒案件有下列情形之</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者，應為免議之判決：</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一、同一行為，已受懲戒判決確定。</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二、受褫奪公權之宣告確定，認已無受懲戒之必要。</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三、已逾第五十二條規定之懲戒權行使期間。</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四、有前項但書之情形。</w:t>
      </w:r>
    </w:p>
    <w:p w:rsidR="00D3572A" w:rsidRDefault="00D3572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pPr>
      <w:r>
        <w:rPr>
          <w:rFonts w:ascii="標楷體" w:eastAsia="標楷體" w:hAnsi="標楷體" w:cs="細明體"/>
          <w:b/>
          <w:kern w:val="0"/>
          <w:sz w:val="28"/>
          <w:szCs w:val="28"/>
        </w:rPr>
        <w:t>修正前法官法</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50</w:t>
      </w:r>
      <w:r>
        <w:rPr>
          <w:rFonts w:ascii="標楷體" w:eastAsia="標楷體" w:hAnsi="標楷體" w:cs="細明體"/>
          <w:b/>
          <w:kern w:val="0"/>
          <w:sz w:val="28"/>
          <w:szCs w:val="28"/>
        </w:rPr>
        <w:t>條（法官懲戒之種類與淘汰）</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法官之懲戒如下：</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一、免除法官職務，並喪失公務人員任用資格。</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二、撤職：</w:t>
      </w:r>
      <w:proofErr w:type="gramStart"/>
      <w:r>
        <w:rPr>
          <w:rFonts w:ascii="標楷體" w:eastAsia="標楷體" w:hAnsi="標楷體" w:cs="細明體"/>
          <w:kern w:val="0"/>
          <w:sz w:val="28"/>
          <w:szCs w:val="28"/>
        </w:rPr>
        <w:t>除撤其</w:t>
      </w:r>
      <w:proofErr w:type="gramEnd"/>
      <w:r>
        <w:rPr>
          <w:rFonts w:ascii="標楷體" w:eastAsia="標楷體" w:hAnsi="標楷體" w:cs="細明體"/>
          <w:kern w:val="0"/>
          <w:sz w:val="28"/>
          <w:szCs w:val="28"/>
        </w:rPr>
        <w:t>現職外，並於一定期間停止任用，其期間為一年以上五年以下。</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sz w:val="28"/>
          <w:szCs w:val="28"/>
        </w:rPr>
      </w:pPr>
      <w:r>
        <w:rPr>
          <w:rFonts w:ascii="標楷體" w:eastAsia="標楷體" w:hAnsi="標楷體" w:cs="細明體"/>
          <w:b/>
          <w:kern w:val="0"/>
          <w:sz w:val="28"/>
          <w:szCs w:val="28"/>
        </w:rPr>
        <w:t>三、免除法官職務，轉任法官以外之其他職務。</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四、罰款：其數額為現職月俸給總額或任職時最後月俸給總額一個月以上一年以下。</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五、申誡。</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lastRenderedPageBreak/>
        <w:t>依應受懲戒之具體情事足認已不適任法官者，應予撤職以上之處分。</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受第一項第一款、第二款之懲戒處分者，不得充任律師，其已充任律師者，停止其執行職務；其中受第一項第二款、第三款之懲戒處分者，並不得回任法官職務。</w:t>
      </w: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kern w:val="0"/>
          <w:sz w:val="28"/>
          <w:szCs w:val="28"/>
        </w:rPr>
      </w:pPr>
      <w:r>
        <w:rPr>
          <w:rFonts w:ascii="標楷體" w:eastAsia="標楷體" w:hAnsi="標楷體" w:cs="細明體"/>
          <w:kern w:val="0"/>
          <w:sz w:val="28"/>
          <w:szCs w:val="28"/>
        </w:rPr>
        <w:t>申誡，以書面為之。</w:t>
      </w:r>
    </w:p>
    <w:p w:rsidR="00D3572A" w:rsidRDefault="00D3572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22pt" w:lineRule="exact"/>
        <w:rPr>
          <w:rFonts w:ascii="標楷體" w:eastAsia="標楷體" w:hAnsi="標楷體" w:cs="細明體"/>
          <w:b/>
          <w:kern w:val="0"/>
        </w:rPr>
      </w:pP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rPr>
          <w:rFonts w:ascii="標楷體" w:eastAsia="標楷體" w:hAnsi="標楷體" w:cs="細明體"/>
          <w:b/>
          <w:kern w:val="0"/>
          <w:sz w:val="28"/>
          <w:szCs w:val="28"/>
        </w:rPr>
      </w:pPr>
      <w:r>
        <w:rPr>
          <w:rFonts w:ascii="標楷體" w:eastAsia="標楷體" w:hAnsi="標楷體" w:cs="細明體"/>
          <w:b/>
          <w:kern w:val="0"/>
          <w:sz w:val="28"/>
          <w:szCs w:val="28"/>
        </w:rPr>
        <w:t>法官倫理規範</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3</w:t>
      </w:r>
      <w:r>
        <w:rPr>
          <w:rFonts w:ascii="標楷體" w:eastAsia="標楷體" w:hAnsi="標楷體" w:cs="細明體"/>
          <w:b/>
          <w:kern w:val="0"/>
          <w:sz w:val="28"/>
          <w:szCs w:val="28"/>
        </w:rPr>
        <w:t>條</w:t>
      </w:r>
    </w:p>
    <w:p w:rsidR="00D3572A" w:rsidRDefault="00844DAF">
      <w:pPr>
        <w:widowControl/>
        <w:shd w:val="clear" w:color="auto" w:fill="FFFFFF"/>
        <w:suppressAutoHyphens w:val="0"/>
        <w:jc w:val="both"/>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法官執行職務時，應保持公正、客觀、中立，不得有損及人民對於司法信賴之行為。</w:t>
      </w:r>
    </w:p>
    <w:p w:rsidR="00D3572A" w:rsidRDefault="00D3572A">
      <w:pPr>
        <w:widowControl/>
        <w:shd w:val="clear" w:color="auto" w:fill="FFFFFF"/>
        <w:suppressAutoHyphens w:val="0"/>
        <w:jc w:val="both"/>
        <w:textAlignment w:val="auto"/>
        <w:rPr>
          <w:rFonts w:ascii="標楷體" w:eastAsia="標楷體" w:hAnsi="標楷體" w:cs="Arial"/>
          <w:color w:val="000000"/>
          <w:kern w:val="0"/>
          <w:sz w:val="28"/>
          <w:szCs w:val="28"/>
        </w:rPr>
      </w:pPr>
    </w:p>
    <w:p w:rsidR="00D3572A" w:rsidRDefault="00844DAF">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line="18pt" w:lineRule="auto"/>
        <w:rPr>
          <w:rFonts w:ascii="標楷體" w:eastAsia="標楷體" w:hAnsi="標楷體" w:cs="細明體"/>
          <w:b/>
          <w:kern w:val="0"/>
          <w:sz w:val="28"/>
          <w:szCs w:val="28"/>
        </w:rPr>
      </w:pPr>
      <w:r>
        <w:rPr>
          <w:rFonts w:ascii="標楷體" w:eastAsia="標楷體" w:hAnsi="標楷體" w:cs="細明體"/>
          <w:b/>
          <w:kern w:val="0"/>
          <w:sz w:val="28"/>
          <w:szCs w:val="28"/>
        </w:rPr>
        <w:t>法官倫理規範</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第</w:t>
      </w:r>
      <w:r>
        <w:rPr>
          <w:rFonts w:ascii="標楷體" w:eastAsia="標楷體" w:hAnsi="標楷體" w:cs="細明體"/>
          <w:b/>
          <w:kern w:val="0"/>
          <w:sz w:val="28"/>
          <w:szCs w:val="28"/>
        </w:rPr>
        <w:t>12</w:t>
      </w:r>
      <w:r>
        <w:rPr>
          <w:rFonts w:ascii="標楷體" w:eastAsia="標楷體" w:hAnsi="標楷體" w:cs="細明體"/>
          <w:b/>
          <w:kern w:val="0"/>
          <w:sz w:val="28"/>
          <w:szCs w:val="28"/>
        </w:rPr>
        <w:t>條</w:t>
      </w:r>
    </w:p>
    <w:p w:rsidR="00D3572A" w:rsidRDefault="00844DAF">
      <w:pPr>
        <w:widowControl/>
        <w:shd w:val="clear" w:color="auto" w:fill="FFFFFF"/>
        <w:suppressAutoHyphens w:val="0"/>
        <w:jc w:val="both"/>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法官開庭前應充分準備；開庭時應客觀、公正、中立、耐心、有禮聽審，維護當事人、關係人訴訟上權利或辯護權。</w:t>
      </w:r>
    </w:p>
    <w:p w:rsidR="00D3572A" w:rsidRDefault="00844DAF">
      <w:pPr>
        <w:widowControl/>
        <w:shd w:val="clear" w:color="auto" w:fill="FFFFFF"/>
        <w:suppressAutoHyphens w:val="0"/>
        <w:jc w:val="both"/>
        <w:textAlignment w:val="auto"/>
        <w:rPr>
          <w:rFonts w:ascii="標楷體" w:eastAsia="標楷體" w:hAnsi="標楷體" w:cs="Arial"/>
          <w:color w:val="000000"/>
          <w:kern w:val="0"/>
          <w:sz w:val="28"/>
          <w:szCs w:val="28"/>
        </w:rPr>
      </w:pPr>
      <w:r>
        <w:rPr>
          <w:rFonts w:ascii="標楷體" w:eastAsia="標楷體" w:hAnsi="標楷體" w:cs="Arial"/>
          <w:color w:val="000000"/>
          <w:kern w:val="0"/>
          <w:sz w:val="28"/>
          <w:szCs w:val="28"/>
        </w:rPr>
        <w:t>法官應維持法庭莊嚴及秩序，不得對在庭之人辱罵、無理之責備或有其他損其尊嚴之行為。</w:t>
      </w:r>
    </w:p>
    <w:p w:rsidR="00D3572A" w:rsidRDefault="00844DAF">
      <w:pPr>
        <w:widowControl/>
        <w:shd w:val="clear" w:color="auto" w:fill="FFFFFF"/>
        <w:suppressAutoHyphens w:val="0"/>
        <w:jc w:val="both"/>
        <w:textAlignment w:val="auto"/>
      </w:pPr>
      <w:r>
        <w:rPr>
          <w:rFonts w:ascii="標楷體" w:eastAsia="標楷體" w:hAnsi="標楷體" w:cs="Arial"/>
          <w:color w:val="000000"/>
          <w:kern w:val="0"/>
          <w:sz w:val="28"/>
          <w:szCs w:val="28"/>
        </w:rPr>
        <w:t>法官得鼓勵、促成當事人進行調解、和解或以其他適當方式解決爭議，但不得以不當之方式為之。</w:t>
      </w:r>
    </w:p>
    <w:sectPr w:rsidR="00D3572A">
      <w:footerReference w:type="default" r:id="rId8"/>
      <w:pgSz w:w="595.30pt" w:h="841.90pt"/>
      <w:pgMar w:top="72pt" w:right="85.05pt" w:bottom="56.70pt" w:left="85.05pt" w:header="42.55pt" w:footer="49.60pt" w:gutter="0pt"/>
      <w:cols w:space="36pt"/>
      <w:docGrid w:type="lines" w:linePitch="517"/>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44DAF" w:rsidRDefault="00844DAF">
      <w:r>
        <w:separator/>
      </w:r>
    </w:p>
  </w:endnote>
  <w:endnote w:type="continuationSeparator" w:id="0">
    <w:p w:rsidR="00844DAF" w:rsidRDefault="00844DA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標楷體">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細明體">
    <w:altName w:val="MingLiU"/>
    <w:panose1 w:val="02020509000000000000"/>
    <w:charset w:characterSet="Big5"/>
    <w:family w:val="modern"/>
    <w:pitch w:val="fixed"/>
    <w:sig w:usb0="A00002FF" w:usb1="28CFFCFA" w:usb2="00000016" w:usb3="00000000" w:csb0="00100001" w:csb1="00000000"/>
  </w:font>
  <w:font w:name="Verdana">
    <w:panose1 w:val="020B0604030504040204"/>
    <w:charset w:characterSet="iso-8859-1"/>
    <w:family w:val="swiss"/>
    <w:pitch w:val="variable"/>
    <w:sig w:usb0="A00006FF" w:usb1="4000205B" w:usb2="00000010" w:usb3="00000000" w:csb0="0000019F" w:csb1="00000000"/>
  </w:font>
  <w:font w:name="Cambria">
    <w:panose1 w:val="02040503050406030204"/>
    <w:charset w:characterSet="iso-8859-1"/>
    <w:family w:val="roman"/>
    <w:pitch w:val="variable"/>
    <w:sig w:usb0="E00006FF" w:usb1="420024FF" w:usb2="02000000" w:usb3="00000000" w:csb0="000001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60F20" w:rsidRDefault="00844DAF">
    <w:pPr>
      <w:pStyle w:val="a3"/>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purl.oclc.org/ooxml/drawingml/main">
            <a:graphicData uri="http://schemas.microsoft.com/office/word/2010/wordprocessingShape">
              <wp:wsp>
                <wp:cNvSpPr txBox="1"/>
                <wp:spPr>
                  <a:xfrm>
                    <a:off x="0" y="0"/>
                    <a:ext cx="0" cy="0"/>
                  </a:xfrm>
                  <a:prstGeom prst="rect">
                    <a:avLst/>
                  </a:prstGeom>
                  <a:noFill/>
                  <a:ln>
                    <a:noFill/>
                    <a:prstDash/>
                  </a:ln>
                </wp:spPr>
                <wp:txbx>
                  <wne:txbxContent>
                    <w:p w:rsidR="00260F20" w:rsidRDefault="00844DAF">
                      <w:pPr>
                        <w:pStyle w:val="a3"/>
                      </w:pPr>
                      <w:r>
                        <w:rPr>
                          <w:rStyle w:val="a4"/>
                        </w:rPr>
                        <w:fldChar w:fldCharType="begin"/>
                      </w:r>
                      <w:r>
                        <w:rPr>
                          <w:rStyle w:val="a4"/>
                        </w:rPr>
                        <w:instrText xml:space="preserve"> PAGE </w:instrText>
                      </w:r>
                      <w:r>
                        <w:rPr>
                          <w:rStyle w:val="a4"/>
                        </w:rPr>
                        <w:fldChar w:fldCharType="separate"/>
                      </w:r>
                      <w:r w:rsidR="0043462D">
                        <w:rPr>
                          <w:rStyle w:val="a4"/>
                          <w:noProof/>
                        </w:rPr>
                        <w:t>7</w:t>
                      </w:r>
                      <w:r>
                        <w:rPr>
                          <w:rStyle w:val="a4"/>
                        </w:rPr>
                        <w:fldChar w:fldCharType="end"/>
                      </w:r>
                    </w:p>
                  </wne:txbxContent>
                </wp:txbx>
                <wp:bodyPr vert="horz" wrap="none" lIns="0" tIns="0" rIns="0" bIns="0" anchor="t" anchorCtr="0" compatLnSpc="0">
                  <a:spAutoFit/>
                </wp:bodyPr>
              </wp:wsp>
            </a:graphicData>
          </a:graphic>
        </wp:anchor>
      </w:drawing>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44DAF" w:rsidRDefault="00844DAF">
      <w:r>
        <w:rPr>
          <w:color w:val="000000"/>
        </w:rPr>
        <w:separator/>
      </w:r>
    </w:p>
  </w:footnote>
  <w:footnote w:type="continuationSeparator" w:id="0">
    <w:p w:rsidR="00844DAF" w:rsidRDefault="00844DAF">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46572ED7"/>
    <w:multiLevelType w:val="multilevel"/>
    <w:tmpl w:val="3DE61608"/>
    <w:styleLink w:val="WWOutlineListStyle4"/>
    <w:lvl w:ilvl="0">
      <w:start w:val="1"/>
      <w:numFmt w:val="ideographLegalTraditional"/>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lvlText w:val="%7."/>
      <w:lvlJc w:val="start"/>
      <w:pPr>
        <w:ind w:start="122.25pt" w:hanging="17.65pt"/>
      </w:pPr>
      <w:rPr>
        <w:b w:val="0"/>
        <w:i w:val="0"/>
        <w:spacing w:val="0"/>
        <w:w w:val="100%"/>
        <w:position w:val="0"/>
        <w:sz w:val="32"/>
        <w:vertAlign w:val="baseline"/>
      </w:rPr>
    </w:lvl>
    <w:lvl w:ilvl="7">
      <w:start w:val="1"/>
      <w:numFmt w:val="decimal"/>
      <w:lvlText w:val="%8."/>
      <w:lvlJc w:val="start"/>
      <w:pPr>
        <w:ind w:start="139.35pt" w:hanging="17.45pt"/>
      </w:pPr>
      <w:rPr>
        <w:b w:val="0"/>
        <w:i w:val="0"/>
        <w:spacing w:val="0"/>
        <w:w w:val="100%"/>
        <w:position w:val="0"/>
        <w:sz w:val="32"/>
        <w:vertAlign w:val="baseline"/>
      </w:rPr>
    </w:lvl>
    <w:lvl w:ilvl="8">
      <w:start w:val="1"/>
      <w:numFmt w:val="none"/>
      <w:lvlText w:val="%9"/>
      <w:lvlJc w:val="start"/>
    </w:lvl>
  </w:abstractNum>
  <w:abstractNum w:abstractNumId="1" w15:restartNumberingAfterBreak="0">
    <w:nsid w:val="4C201D4D"/>
    <w:multiLevelType w:val="multilevel"/>
    <w:tmpl w:val="B6C894B0"/>
    <w:styleLink w:val="WWOutlineListStyle5"/>
    <w:lvl w:ilvl="0">
      <w:start w:val="1"/>
      <w:numFmt w:val="ideographLegalTraditional"/>
      <w:pStyle w:val="1"/>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pStyle w:val="2"/>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pStyle w:val="3"/>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pStyle w:val="4"/>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pStyle w:val="5"/>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pStyle w:val="6"/>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pStyle w:val="7"/>
      <w:lvlText w:val="%7."/>
      <w:lvlJc w:val="start"/>
      <w:pPr>
        <w:ind w:start="122.25pt" w:hanging="17.65pt"/>
      </w:pPr>
      <w:rPr>
        <w:b w:val="0"/>
        <w:i w:val="0"/>
        <w:spacing w:val="0"/>
        <w:w w:val="100%"/>
        <w:position w:val="0"/>
        <w:sz w:val="32"/>
        <w:vertAlign w:val="baseline"/>
      </w:rPr>
    </w:lvl>
    <w:lvl w:ilvl="7">
      <w:start w:val="1"/>
      <w:numFmt w:val="decimal"/>
      <w:pStyle w:val="8"/>
      <w:lvlText w:val="%8."/>
      <w:lvlJc w:val="start"/>
      <w:pPr>
        <w:ind w:start="139.35pt" w:hanging="17.45pt"/>
      </w:pPr>
      <w:rPr>
        <w:b w:val="0"/>
        <w:i w:val="0"/>
        <w:spacing w:val="0"/>
        <w:w w:val="100%"/>
        <w:position w:val="0"/>
        <w:sz w:val="32"/>
        <w:vertAlign w:val="baseline"/>
      </w:rPr>
    </w:lvl>
    <w:lvl w:ilvl="8">
      <w:start w:val="1"/>
      <w:numFmt w:val="none"/>
      <w:lvlText w:val=""/>
      <w:lvlJc w:val="start"/>
    </w:lvl>
  </w:abstractNum>
  <w:abstractNum w:abstractNumId="2" w15:restartNumberingAfterBreak="0">
    <w:nsid w:val="4FAB1747"/>
    <w:multiLevelType w:val="multilevel"/>
    <w:tmpl w:val="7D801E6E"/>
    <w:styleLink w:val="WWOutlineListStyle3"/>
    <w:lvl w:ilvl="0">
      <w:start w:val="1"/>
      <w:numFmt w:val="ideographLegalTraditional"/>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lvlText w:val="%7."/>
      <w:lvlJc w:val="start"/>
      <w:pPr>
        <w:ind w:start="122.25pt" w:hanging="17.65pt"/>
      </w:pPr>
      <w:rPr>
        <w:b w:val="0"/>
        <w:i w:val="0"/>
        <w:spacing w:val="0"/>
        <w:w w:val="100%"/>
        <w:position w:val="0"/>
        <w:sz w:val="32"/>
        <w:vertAlign w:val="baseline"/>
      </w:rPr>
    </w:lvl>
    <w:lvl w:ilvl="7">
      <w:start w:val="1"/>
      <w:numFmt w:val="decimal"/>
      <w:lvlText w:val="%8."/>
      <w:lvlJc w:val="start"/>
      <w:pPr>
        <w:ind w:start="139.35pt" w:hanging="17.45pt"/>
      </w:pPr>
      <w:rPr>
        <w:b w:val="0"/>
        <w:i w:val="0"/>
        <w:spacing w:val="0"/>
        <w:w w:val="100%"/>
        <w:position w:val="0"/>
        <w:sz w:val="32"/>
        <w:vertAlign w:val="baseline"/>
      </w:rPr>
    </w:lvl>
    <w:lvl w:ilvl="8">
      <w:start w:val="1"/>
      <w:numFmt w:val="none"/>
      <w:lvlText w:val="%9"/>
      <w:lvlJc w:val="start"/>
    </w:lvl>
  </w:abstractNum>
  <w:abstractNum w:abstractNumId="3" w15:restartNumberingAfterBreak="0">
    <w:nsid w:val="52913BE2"/>
    <w:multiLevelType w:val="multilevel"/>
    <w:tmpl w:val="10ACE4CA"/>
    <w:styleLink w:val="WWOutlineListStyle1"/>
    <w:lvl w:ilvl="0">
      <w:start w:val="1"/>
      <w:numFmt w:val="ideographLegalTraditional"/>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lvlText w:val="%7."/>
      <w:lvlJc w:val="start"/>
      <w:pPr>
        <w:ind w:start="122.25pt" w:hanging="17.65pt"/>
      </w:pPr>
      <w:rPr>
        <w:b w:val="0"/>
        <w:i w:val="0"/>
        <w:spacing w:val="0"/>
        <w:w w:val="100%"/>
        <w:position w:val="0"/>
        <w:sz w:val="32"/>
        <w:vertAlign w:val="baseline"/>
      </w:rPr>
    </w:lvl>
    <w:lvl w:ilvl="7">
      <w:start w:val="1"/>
      <w:numFmt w:val="decimal"/>
      <w:lvlText w:val="%8."/>
      <w:lvlJc w:val="start"/>
      <w:pPr>
        <w:ind w:start="139.35pt" w:hanging="17.45pt"/>
      </w:pPr>
      <w:rPr>
        <w:b w:val="0"/>
        <w:i w:val="0"/>
        <w:spacing w:val="0"/>
        <w:w w:val="100%"/>
        <w:position w:val="0"/>
        <w:sz w:val="32"/>
        <w:vertAlign w:val="baseline"/>
      </w:rPr>
    </w:lvl>
    <w:lvl w:ilvl="8">
      <w:start w:val="1"/>
      <w:numFmt w:val="none"/>
      <w:lvlText w:val="%9"/>
      <w:lvlJc w:val="start"/>
    </w:lvl>
  </w:abstractNum>
  <w:abstractNum w:abstractNumId="4" w15:restartNumberingAfterBreak="0">
    <w:nsid w:val="6E6E3A0B"/>
    <w:multiLevelType w:val="multilevel"/>
    <w:tmpl w:val="F0F44F5A"/>
    <w:styleLink w:val="WWOutlineListStyle"/>
    <w:lvl w:ilvl="0">
      <w:start w:val="1"/>
      <w:numFmt w:val="ideographLegalTraditional"/>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lvlText w:val="%7."/>
      <w:lvlJc w:val="start"/>
      <w:pPr>
        <w:ind w:start="122.25pt" w:hanging="17.65pt"/>
      </w:pPr>
      <w:rPr>
        <w:b w:val="0"/>
        <w:i w:val="0"/>
        <w:spacing w:val="0"/>
        <w:w w:val="100%"/>
        <w:position w:val="0"/>
        <w:sz w:val="32"/>
        <w:vertAlign w:val="baseline"/>
      </w:rPr>
    </w:lvl>
    <w:lvl w:ilvl="7">
      <w:start w:val="1"/>
      <w:numFmt w:val="decimal"/>
      <w:lvlText w:val="%8."/>
      <w:lvlJc w:val="start"/>
      <w:pPr>
        <w:ind w:start="139.35pt" w:hanging="17.45pt"/>
      </w:pPr>
      <w:rPr>
        <w:b w:val="0"/>
        <w:i w:val="0"/>
        <w:spacing w:val="0"/>
        <w:w w:val="100%"/>
        <w:position w:val="0"/>
        <w:sz w:val="32"/>
        <w:vertAlign w:val="baseline"/>
      </w:rPr>
    </w:lvl>
    <w:lvl w:ilvl="8">
      <w:start w:val="1"/>
      <w:numFmt w:val="none"/>
      <w:lvlText w:val="%9"/>
      <w:lvlJc w:val="start"/>
    </w:lvl>
  </w:abstractNum>
  <w:abstractNum w:abstractNumId="5" w15:restartNumberingAfterBreak="0">
    <w:nsid w:val="711332C4"/>
    <w:multiLevelType w:val="multilevel"/>
    <w:tmpl w:val="8C40185A"/>
    <w:styleLink w:val="WWOutlineListStyle2"/>
    <w:lvl w:ilvl="0">
      <w:start w:val="1"/>
      <w:numFmt w:val="ideographLegalTraditional"/>
      <w:lvlText w:val="%1、"/>
      <w:lvlJc w:val="start"/>
      <w:pPr>
        <w:ind w:start="34.95pt" w:hanging="34.95pt"/>
      </w:pPr>
      <w:rPr>
        <w:rFonts w:ascii="標楷體" w:eastAsia="標楷體" w:hAnsi="標楷體"/>
        <w:b w:val="0"/>
        <w:i w:val="0"/>
        <w:spacing w:val="0"/>
        <w:w w:val="100%"/>
        <w:position w:val="0"/>
        <w:sz w:val="32"/>
        <w:vertAlign w:val="baseline"/>
      </w:rPr>
    </w:lvl>
    <w:lvl w:ilvl="1">
      <w:start w:val="1"/>
      <w:numFmt w:val="taiwaneseCountingThousand"/>
      <w:lvlText w:val="%2、"/>
      <w:lvlJc w:val="start"/>
      <w:pPr>
        <w:ind w:start="52.25pt" w:hanging="34.85pt"/>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start"/>
      <w:pPr>
        <w:ind w:start="69.65pt" w:hanging="34.85pt"/>
      </w:pPr>
      <w:rPr>
        <w:rFonts w:ascii="標楷體" w:eastAsia="標楷體" w:hAnsi="標楷體"/>
        <w:b w:val="0"/>
        <w:i w:val="0"/>
        <w:spacing w:val="0"/>
        <w:w w:val="100%"/>
        <w:position w:val="0"/>
        <w:sz w:val="32"/>
        <w:vertAlign w:val="baseline"/>
      </w:rPr>
    </w:lvl>
    <w:lvl w:ilvl="3">
      <w:start w:val="1"/>
      <w:numFmt w:val="decimalFullWidth"/>
      <w:lvlText w:val="%4、"/>
      <w:lvlJc w:val="start"/>
      <w:pPr>
        <w:ind w:start="87.25pt" w:hanging="34.90pt"/>
      </w:pPr>
      <w:rPr>
        <w:rFonts w:ascii="標楷體" w:eastAsia="標楷體" w:hAnsi="標楷體"/>
        <w:b w:val="0"/>
        <w:i w:val="0"/>
        <w:spacing w:val="0"/>
        <w:w w:val="100%"/>
        <w:position w:val="0"/>
        <w:sz w:val="32"/>
        <w:vertAlign w:val="baseline"/>
      </w:rPr>
    </w:lvl>
    <w:lvl w:ilvl="4">
      <w:start w:val="1"/>
      <w:numFmt w:val="decimalFullWidth"/>
      <w:lvlText w:val="(%5)"/>
      <w:lvlJc w:val="start"/>
      <w:pPr>
        <w:ind w:start="104.70pt" w:hanging="35pt"/>
      </w:pPr>
      <w:rPr>
        <w:rFonts w:ascii="標楷體" w:eastAsia="標楷體" w:hAnsi="標楷體"/>
        <w:b w:val="0"/>
        <w:i w:val="0"/>
        <w:spacing w:val="0"/>
        <w:w w:val="100%"/>
        <w:position w:val="0"/>
        <w:sz w:val="32"/>
        <w:vertAlign w:val="baseline"/>
      </w:rPr>
    </w:lvl>
    <w:lvl w:ilvl="5">
      <w:start w:val="1"/>
      <w:numFmt w:val="decimalFullWidth"/>
      <w:lvlText w:val="&lt;%6&gt;"/>
      <w:lvlJc w:val="start"/>
      <w:pPr>
        <w:ind w:start="122.05pt" w:hanging="34.85pt"/>
      </w:pPr>
      <w:rPr>
        <w:rFonts w:ascii="標楷體" w:eastAsia="標楷體" w:hAnsi="標楷體"/>
        <w:b w:val="0"/>
        <w:i w:val="0"/>
        <w:spacing w:val="0"/>
        <w:w w:val="100%"/>
        <w:position w:val="0"/>
        <w:sz w:val="32"/>
        <w:vertAlign w:val="baseline"/>
      </w:rPr>
    </w:lvl>
    <w:lvl w:ilvl="6">
      <w:start w:val="1"/>
      <w:numFmt w:val="decimal"/>
      <w:lvlText w:val="%7."/>
      <w:lvlJc w:val="start"/>
      <w:pPr>
        <w:ind w:start="122.25pt" w:hanging="17.65pt"/>
      </w:pPr>
      <w:rPr>
        <w:b w:val="0"/>
        <w:i w:val="0"/>
        <w:spacing w:val="0"/>
        <w:w w:val="100%"/>
        <w:position w:val="0"/>
        <w:sz w:val="32"/>
        <w:vertAlign w:val="baseline"/>
      </w:rPr>
    </w:lvl>
    <w:lvl w:ilvl="7">
      <w:start w:val="1"/>
      <w:numFmt w:val="decimal"/>
      <w:lvlText w:val="%8."/>
      <w:lvlJc w:val="start"/>
      <w:pPr>
        <w:ind w:start="139.35pt" w:hanging="17.45pt"/>
      </w:pPr>
      <w:rPr>
        <w:b w:val="0"/>
        <w:i w:val="0"/>
        <w:spacing w:val="0"/>
        <w:w w:val="100%"/>
        <w:position w:val="0"/>
        <w:sz w:val="32"/>
        <w:vertAlign w:val="baseline"/>
      </w:rPr>
    </w:lvl>
    <w:lvl w:ilvl="8">
      <w:start w:val="1"/>
      <w:numFmt w:val="none"/>
      <w:lvlText w:val="%9"/>
      <w:lvlJc w:val="start"/>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3572A"/>
    <w:rsid w:val="003024A8"/>
    <w:rsid w:val="0043462D"/>
    <w:rsid w:val="00844DAF"/>
    <w:rsid w:val="00D35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5D6BE262-5527-4EDA-8FE6-5F0FD72688D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numPr>
        <w:numId w:val="1"/>
      </w:numPr>
      <w:jc w:val="both"/>
      <w:outlineLvl w:val="0"/>
    </w:pPr>
    <w:rPr>
      <w:rFonts w:ascii="標楷體" w:eastAsia="標楷體" w:hAnsi="標楷體"/>
      <w:bCs/>
      <w:kern w:val="0"/>
      <w:sz w:val="32"/>
      <w:szCs w:val="52"/>
    </w:rPr>
  </w:style>
  <w:style w:type="paragraph" w:styleId="2">
    <w:name w:val="heading 2"/>
    <w:basedOn w:val="a"/>
    <w:pPr>
      <w:numPr>
        <w:ilvl w:val="1"/>
        <w:numId w:val="1"/>
      </w:numPr>
      <w:jc w:val="both"/>
      <w:outlineLvl w:val="1"/>
    </w:pPr>
    <w:rPr>
      <w:rFonts w:ascii="標楷體" w:eastAsia="標楷體" w:hAnsi="標楷體"/>
      <w:bCs/>
      <w:kern w:val="0"/>
      <w:sz w:val="32"/>
      <w:szCs w:val="48"/>
    </w:rPr>
  </w:style>
  <w:style w:type="paragraph" w:styleId="3">
    <w:name w:val="heading 3"/>
    <w:basedOn w:val="a"/>
    <w:pPr>
      <w:numPr>
        <w:ilvl w:val="2"/>
        <w:numId w:val="1"/>
      </w:numPr>
      <w:jc w:val="both"/>
      <w:outlineLvl w:val="2"/>
    </w:pPr>
    <w:rPr>
      <w:rFonts w:ascii="標楷體" w:eastAsia="標楷體" w:hAnsi="標楷體"/>
      <w:bCs/>
      <w:kern w:val="0"/>
      <w:sz w:val="32"/>
      <w:szCs w:val="36"/>
    </w:rPr>
  </w:style>
  <w:style w:type="paragraph" w:styleId="4">
    <w:name w:val="heading 4"/>
    <w:basedOn w:val="a"/>
    <w:pPr>
      <w:numPr>
        <w:ilvl w:val="3"/>
        <w:numId w:val="1"/>
      </w:numPr>
      <w:jc w:val="both"/>
      <w:outlineLvl w:val="3"/>
    </w:pPr>
    <w:rPr>
      <w:rFonts w:ascii="標楷體" w:eastAsia="標楷體" w:hAnsi="標楷體"/>
      <w:sz w:val="32"/>
      <w:szCs w:val="36"/>
    </w:rPr>
  </w:style>
  <w:style w:type="paragraph" w:styleId="5">
    <w:name w:val="heading 5"/>
    <w:basedOn w:val="a"/>
    <w:pPr>
      <w:numPr>
        <w:ilvl w:val="4"/>
        <w:numId w:val="1"/>
      </w:numPr>
      <w:jc w:val="both"/>
      <w:outlineLvl w:val="4"/>
    </w:pPr>
    <w:rPr>
      <w:rFonts w:ascii="標楷體" w:eastAsia="標楷體" w:hAnsi="標楷體"/>
      <w:bCs/>
      <w:sz w:val="32"/>
      <w:szCs w:val="36"/>
    </w:rPr>
  </w:style>
  <w:style w:type="paragraph" w:styleId="6">
    <w:name w:val="heading 6"/>
    <w:basedOn w:val="a"/>
    <w:pPr>
      <w:numPr>
        <w:ilvl w:val="5"/>
        <w:numId w:val="1"/>
      </w:numPr>
      <w:tabs>
        <w:tab w:val="start" w:pos="-627.60pt"/>
      </w:tabs>
      <w:jc w:val="both"/>
      <w:outlineLvl w:val="5"/>
    </w:pPr>
    <w:rPr>
      <w:rFonts w:ascii="標楷體" w:eastAsia="標楷體" w:hAnsi="標楷體"/>
      <w:sz w:val="32"/>
      <w:szCs w:val="36"/>
    </w:rPr>
  </w:style>
  <w:style w:type="paragraph" w:styleId="7">
    <w:name w:val="heading 7"/>
    <w:basedOn w:val="a"/>
    <w:pPr>
      <w:numPr>
        <w:ilvl w:val="6"/>
        <w:numId w:val="1"/>
      </w:numPr>
      <w:jc w:val="both"/>
      <w:outlineLvl w:val="6"/>
    </w:pPr>
    <w:rPr>
      <w:rFonts w:ascii="標楷體" w:eastAsia="標楷體" w:hAnsi="標楷體"/>
      <w:bCs/>
      <w:sz w:val="32"/>
      <w:szCs w:val="36"/>
    </w:rPr>
  </w:style>
  <w:style w:type="paragraph" w:styleId="8">
    <w:name w:val="heading 8"/>
    <w:basedOn w:val="a"/>
    <w:pPr>
      <w:numPr>
        <w:ilvl w:val="7"/>
        <w:numId w:val="1"/>
      </w:numPr>
      <w:jc w:val="both"/>
      <w:outlineLvl w:val="7"/>
    </w:pPr>
    <w:rPr>
      <w:rFonts w:ascii="標楷體" w:eastAsia="標楷體" w:hAnsi="標楷體"/>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numbering" w:customStyle="1" w:styleId="WWOutlineListStyle5">
    <w:name w:val="WW_OutlineListStyle_5"/>
    <w:basedOn w:val="a2"/>
    <w:pPr>
      <w:numPr>
        <w:numId w:val="1"/>
      </w:numPr>
    </w:pPr>
  </w:style>
  <w:style w:type="paragraph" w:styleId="a3">
    <w:name w:val="footer"/>
    <w:basedOn w:val="a"/>
    <w:pPr>
      <w:tabs>
        <w:tab w:val="center" w:pos="207.65pt"/>
        <w:tab w:val="end" w:pos="415.30pt"/>
      </w:tabs>
      <w:snapToGrid w:val="0"/>
    </w:pPr>
    <w:rPr>
      <w:sz w:val="20"/>
      <w:szCs w:val="20"/>
    </w:rPr>
  </w:style>
  <w:style w:type="character" w:styleId="a4">
    <w:name w:val="page number"/>
    <w:basedOn w:val="a0"/>
  </w:style>
  <w:style w:type="paragraph" w:styleId="HTML">
    <w:name w:val="HTML Preformatted"/>
    <w:basedOn w:val="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細明體" w:eastAsia="細明體" w:hAnsi="細明體"/>
      <w:kern w:val="0"/>
    </w:rPr>
  </w:style>
  <w:style w:type="paragraph" w:customStyle="1" w:styleId="20">
    <w:name w:val="字元 字元2 字元"/>
    <w:basedOn w:val="a"/>
    <w:pPr>
      <w:widowControl/>
      <w:spacing w:after="8pt" w:line="12pt" w:lineRule="exact"/>
    </w:pPr>
    <w:rPr>
      <w:rFonts w:ascii="Verdana" w:hAnsi="Verdana"/>
      <w:kern w:val="0"/>
      <w:sz w:val="20"/>
      <w:szCs w:val="20"/>
      <w:lang w:eastAsia="en-US"/>
    </w:rPr>
  </w:style>
  <w:style w:type="paragraph" w:styleId="a5">
    <w:name w:val="header"/>
    <w:basedOn w:val="a"/>
    <w:pPr>
      <w:tabs>
        <w:tab w:val="center" w:pos="207.65pt"/>
        <w:tab w:val="end" w:pos="415.30pt"/>
      </w:tabs>
      <w:snapToGrid w:val="0"/>
    </w:pPr>
    <w:rPr>
      <w:sz w:val="20"/>
      <w:szCs w:val="20"/>
    </w:rPr>
  </w:style>
  <w:style w:type="character" w:customStyle="1" w:styleId="a6">
    <w:name w:val="頁首 字元"/>
    <w:rPr>
      <w:kern w:val="3"/>
    </w:rPr>
  </w:style>
  <w:style w:type="character" w:customStyle="1" w:styleId="10">
    <w:name w:val="標題 1 字元"/>
    <w:rPr>
      <w:rFonts w:ascii="標楷體" w:eastAsia="標楷體" w:hAnsi="標楷體"/>
      <w:bCs/>
      <w:sz w:val="32"/>
      <w:szCs w:val="52"/>
    </w:rPr>
  </w:style>
  <w:style w:type="character" w:customStyle="1" w:styleId="21">
    <w:name w:val="標題 2 字元"/>
    <w:rPr>
      <w:rFonts w:ascii="標楷體" w:eastAsia="標楷體" w:hAnsi="標楷體"/>
      <w:bCs/>
      <w:sz w:val="32"/>
      <w:szCs w:val="48"/>
    </w:rPr>
  </w:style>
  <w:style w:type="character" w:customStyle="1" w:styleId="30">
    <w:name w:val="標題 3 字元"/>
    <w:rPr>
      <w:rFonts w:ascii="標楷體" w:eastAsia="標楷體" w:hAnsi="標楷體"/>
      <w:bCs/>
      <w:sz w:val="32"/>
      <w:szCs w:val="36"/>
    </w:rPr>
  </w:style>
  <w:style w:type="character" w:customStyle="1" w:styleId="40">
    <w:name w:val="標題 4 字元"/>
    <w:rPr>
      <w:rFonts w:ascii="標楷體" w:eastAsia="標楷體" w:hAnsi="標楷體"/>
      <w:kern w:val="3"/>
      <w:sz w:val="32"/>
      <w:szCs w:val="36"/>
    </w:rPr>
  </w:style>
  <w:style w:type="character" w:customStyle="1" w:styleId="50">
    <w:name w:val="標題 5 字元"/>
    <w:rPr>
      <w:rFonts w:ascii="標楷體" w:eastAsia="標楷體" w:hAnsi="標楷體"/>
      <w:bCs/>
      <w:kern w:val="3"/>
      <w:sz w:val="32"/>
      <w:szCs w:val="36"/>
    </w:rPr>
  </w:style>
  <w:style w:type="character" w:customStyle="1" w:styleId="60">
    <w:name w:val="標題 6 字元"/>
    <w:rPr>
      <w:rFonts w:ascii="標楷體" w:eastAsia="標楷體" w:hAnsi="標楷體"/>
      <w:kern w:val="3"/>
      <w:sz w:val="32"/>
      <w:szCs w:val="36"/>
    </w:rPr>
  </w:style>
  <w:style w:type="character" w:customStyle="1" w:styleId="70">
    <w:name w:val="標題 7 字元"/>
    <w:rPr>
      <w:rFonts w:ascii="標楷體" w:eastAsia="標楷體" w:hAnsi="標楷體"/>
      <w:bCs/>
      <w:kern w:val="3"/>
      <w:sz w:val="32"/>
      <w:szCs w:val="36"/>
    </w:rPr>
  </w:style>
  <w:style w:type="character" w:customStyle="1" w:styleId="80">
    <w:name w:val="標題 8 字元"/>
    <w:rPr>
      <w:rFonts w:ascii="標楷體" w:eastAsia="標楷體" w:hAnsi="標楷體"/>
      <w:kern w:val="3"/>
      <w:sz w:val="32"/>
      <w:szCs w:val="36"/>
    </w:rPr>
  </w:style>
  <w:style w:type="paragraph" w:styleId="Web">
    <w:name w:val="Normal (Web)"/>
    <w:basedOn w:val="a"/>
    <w:pPr>
      <w:widowControl/>
      <w:spacing w:before="5pt" w:after="5pt"/>
    </w:pPr>
    <w:rPr>
      <w:kern w:val="0"/>
    </w:rPr>
  </w:style>
  <w:style w:type="paragraph" w:styleId="a7">
    <w:name w:val="Salutation"/>
    <w:basedOn w:val="a"/>
    <w:next w:val="a"/>
  </w:style>
  <w:style w:type="character" w:customStyle="1" w:styleId="a8">
    <w:name w:val="問候 字元"/>
    <w:rPr>
      <w:kern w:val="3"/>
      <w:sz w:val="24"/>
      <w:szCs w:val="24"/>
    </w:rPr>
  </w:style>
  <w:style w:type="paragraph" w:styleId="a9">
    <w:name w:val="Closing"/>
    <w:basedOn w:val="a"/>
    <w:pPr>
      <w:ind w:start="5pt"/>
    </w:pPr>
  </w:style>
  <w:style w:type="character" w:customStyle="1" w:styleId="aa">
    <w:name w:val="結語 字元"/>
    <w:rPr>
      <w:kern w:val="3"/>
      <w:sz w:val="24"/>
      <w:szCs w:val="24"/>
    </w:rPr>
  </w:style>
  <w:style w:type="character" w:customStyle="1" w:styleId="HTML0">
    <w:name w:val="HTML 預設格式 字元"/>
    <w:rPr>
      <w:rFonts w:ascii="細明體" w:eastAsia="細明體" w:hAnsi="細明體" w:cs="細明體"/>
      <w:sz w:val="24"/>
      <w:szCs w:val="24"/>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4"/>
    </w:rPr>
  </w:style>
  <w:style w:type="paragraph" w:styleId="af0">
    <w:name w:val="annotation subject"/>
    <w:basedOn w:val="ae"/>
    <w:next w:val="ae"/>
    <w:rPr>
      <w:b/>
      <w:bCs/>
    </w:rPr>
  </w:style>
  <w:style w:type="character" w:customStyle="1" w:styleId="af1">
    <w:name w:val="註解主旨 字元"/>
    <w:rPr>
      <w:b/>
      <w:bCs/>
      <w:kern w:val="3"/>
      <w:sz w:val="24"/>
      <w:szCs w:val="24"/>
    </w:rPr>
  </w:style>
  <w:style w:type="numbering" w:customStyle="1" w:styleId="WWOutlineListStyle4">
    <w:name w:val="WW_OutlineListStyle_4"/>
    <w:basedOn w:val="a2"/>
    <w:pPr>
      <w:numPr>
        <w:numId w:val="2"/>
      </w:numPr>
    </w:pPr>
  </w:style>
  <w:style w:type="numbering" w:customStyle="1" w:styleId="WWOutlineListStyle3">
    <w:name w:val="WW_OutlineListStyle_3"/>
    <w:basedOn w:val="a2"/>
    <w:pPr>
      <w:numPr>
        <w:numId w:val="3"/>
      </w:numPr>
    </w:pPr>
  </w:style>
  <w:style w:type="numbering" w:customStyle="1" w:styleId="WWOutlineListStyle2">
    <w:name w:val="WW_OutlineListStyle_2"/>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TotalTime>
  <Pages>7</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tpp</dc:creator>
  <cp:lastModifiedBy>Windows 使用者</cp:lastModifiedBy>
  <cp:revision>3</cp:revision>
  <cp:lastPrinted>2021-02-05T02:12:00Z</cp:lastPrinted>
  <dcterms:created xsi:type="dcterms:W3CDTF">2021-02-05T03:32:00Z</dcterms:created>
  <dcterms:modified xsi:type="dcterms:W3CDTF">2021-02-05T03:36:00Z</dcterms:modified>
</cp:coreProperties>
</file>