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CellMar>
          <w:left w:w="10" w:type="dxa"/>
          <w:right w:w="10" w:type="dxa"/>
        </w:tblCellMar>
        <w:tblLook w:val="0000" w:firstRow="0" w:lastRow="0" w:firstColumn="0" w:lastColumn="0" w:noHBand="0" w:noVBand="0"/>
      </w:tblPr>
      <w:tblGrid>
        <w:gridCol w:w="2390"/>
        <w:gridCol w:w="6812"/>
      </w:tblGrid>
      <w:tr w:rsidR="00121A79">
        <w:trPr>
          <w:trHeight w:val="1971"/>
        </w:trPr>
        <w:tc>
          <w:tcPr>
            <w:tcW w:w="2390" w:type="dxa"/>
            <w:shd w:val="clear" w:color="auto" w:fill="auto"/>
            <w:tcMar>
              <w:top w:w="0" w:type="dxa"/>
              <w:left w:w="28" w:type="dxa"/>
              <w:bottom w:w="0" w:type="dxa"/>
              <w:right w:w="28" w:type="dxa"/>
            </w:tcMar>
            <w:vAlign w:val="center"/>
          </w:tcPr>
          <w:p w:rsidR="00121A79" w:rsidRDefault="001B7269">
            <w:pPr>
              <w:jc w:val="center"/>
            </w:pPr>
            <w:r>
              <w:rPr>
                <w:rFonts w:ascii="標楷體" w:eastAsia="標楷體" w:hAnsi="標楷體"/>
                <w:noProof/>
                <w:sz w:val="28"/>
              </w:rPr>
              <w:drawing>
                <wp:inline distT="0" distB="0" distL="0" distR="0">
                  <wp:extent cx="1234440" cy="1226823"/>
                  <wp:effectExtent l="0" t="0" r="3810" b="0"/>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34440" cy="1226823"/>
                          </a:xfrm>
                          <a:prstGeom prst="rect">
                            <a:avLst/>
                          </a:prstGeom>
                          <a:noFill/>
                          <a:ln>
                            <a:noFill/>
                            <a:prstDash/>
                          </a:ln>
                        </pic:spPr>
                      </pic:pic>
                    </a:graphicData>
                  </a:graphic>
                </wp:inline>
              </w:drawing>
            </w:r>
            <w:r>
              <w:rPr>
                <w:rFonts w:ascii="標楷體" w:eastAsia="標楷體" w:hAnsi="標楷體"/>
                <w:b/>
                <w:noProof/>
                <w:sz w:val="48"/>
                <w:szCs w:val="48"/>
              </w:rPr>
              <mc:AlternateContent>
                <mc:Choice Requires="wps">
                  <w:drawing>
                    <wp:anchor distT="0" distB="0" distL="114300" distR="114300" simplePos="0" relativeHeight="251657728" behindDoc="0" locked="0" layoutInCell="1" allowOverlap="1">
                      <wp:simplePos x="0" y="0"/>
                      <wp:positionH relativeFrom="column">
                        <wp:posOffset>104771</wp:posOffset>
                      </wp:positionH>
                      <wp:positionV relativeFrom="paragraph">
                        <wp:posOffset>1482086</wp:posOffset>
                      </wp:positionV>
                      <wp:extent cx="5695954" cy="28575"/>
                      <wp:effectExtent l="19050" t="19050" r="19046" b="28575"/>
                      <wp:wrapNone/>
                      <wp:docPr id="3" name="Line 3"/>
                      <wp:cNvGraphicFramePr/>
                      <a:graphic xmlns:a="http://schemas.openxmlformats.org/drawingml/2006/main">
                        <a:graphicData uri="http://schemas.microsoft.com/office/word/2010/wordprocessingShape">
                          <wps:wsp>
                            <wps:cNvCnPr/>
                            <wps:spPr>
                              <a:xfrm flipV="1">
                                <a:off x="0" y="0"/>
                                <a:ext cx="5695954" cy="28575"/>
                              </a:xfrm>
                              <a:prstGeom prst="straightConnector1">
                                <a:avLst/>
                              </a:prstGeom>
                              <a:noFill/>
                              <a:ln w="28575" cap="flat">
                                <a:solidFill>
                                  <a:srgbClr val="000000"/>
                                </a:solidFill>
                                <a:prstDash val="solid"/>
                                <a:round/>
                              </a:ln>
                            </wps:spPr>
                            <wps:bodyPr/>
                          </wps:wsp>
                        </a:graphicData>
                      </a:graphic>
                    </wp:anchor>
                  </w:drawing>
                </mc:Choice>
                <mc:Fallback>
                  <w:pict>
                    <v:shapetype w14:anchorId="23E8D223" id="_x0000_t32" coordsize="21600,21600" o:spt="32" o:oned="t" path="m,l21600,21600e" filled="f">
                      <v:path arrowok="t" fillok="f" o:connecttype="none"/>
                      <o:lock v:ext="edit" shapetype="t"/>
                    </v:shapetype>
                    <v:shape id="Line 3" o:spid="_x0000_s1026" type="#_x0000_t32" style="position:absolute;margin-left:8.25pt;margin-top:116.7pt;width:448.5pt;height:2.2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" strokeweight="2.25pt"/>
                  </w:pict>
                </mc:Fallback>
              </mc:AlternateContent>
            </w:r>
            <w:r>
              <w:rPr>
                <w:rFonts w:ascii="標楷體" w:eastAsia="標楷體" w:hAnsi="標楷體"/>
              </w:rPr>
              <w:t xml:space="preserve">  </w:t>
            </w:r>
          </w:p>
        </w:tc>
        <w:tc>
          <w:tcPr>
            <w:tcW w:w="6812" w:type="dxa"/>
            <w:shd w:val="clear" w:color="auto" w:fill="auto"/>
            <w:tcMar>
              <w:top w:w="0" w:type="dxa"/>
              <w:left w:w="28" w:type="dxa"/>
              <w:bottom w:w="0" w:type="dxa"/>
              <w:right w:w="28" w:type="dxa"/>
            </w:tcMar>
          </w:tcPr>
          <w:p w:rsidR="00121A79" w:rsidRDefault="001B7269">
            <w:pPr>
              <w:spacing w:line="360" w:lineRule="auto"/>
              <w:rPr>
                <w:rFonts w:ascii="標楷體" w:eastAsia="標楷體" w:hAnsi="標楷體"/>
                <w:b/>
                <w:sz w:val="48"/>
                <w:szCs w:val="48"/>
              </w:rPr>
            </w:pPr>
            <w:r>
              <w:rPr>
                <w:rFonts w:ascii="標楷體" w:eastAsia="標楷體" w:hAnsi="標楷體"/>
                <w:b/>
                <w:sz w:val="48"/>
                <w:szCs w:val="48"/>
              </w:rPr>
              <w:t xml:space="preserve">  懲戒法院新聞稿</w:t>
            </w:r>
          </w:p>
          <w:p w:rsidR="00121A79" w:rsidRDefault="001B7269">
            <w:pPr>
              <w:spacing w:line="320" w:lineRule="exact"/>
              <w:ind w:firstLine="700"/>
              <w:jc w:val="both"/>
              <w:rPr>
                <w:rFonts w:ascii="標楷體" w:eastAsia="標楷體" w:hAnsi="標楷體"/>
                <w:sz w:val="28"/>
                <w:szCs w:val="28"/>
              </w:rPr>
            </w:pPr>
            <w:r>
              <w:rPr>
                <w:rFonts w:ascii="標楷體" w:eastAsia="標楷體" w:hAnsi="標楷體"/>
                <w:sz w:val="28"/>
                <w:szCs w:val="28"/>
              </w:rPr>
              <w:t>發稿日期：11</w:t>
            </w:r>
            <w:r w:rsidR="00FB09A3">
              <w:rPr>
                <w:rFonts w:ascii="標楷體" w:eastAsia="標楷體" w:hAnsi="標楷體" w:hint="eastAsia"/>
                <w:sz w:val="28"/>
                <w:szCs w:val="28"/>
              </w:rPr>
              <w:t>1</w:t>
            </w:r>
            <w:r>
              <w:rPr>
                <w:rFonts w:ascii="標楷體" w:eastAsia="標楷體" w:hAnsi="標楷體"/>
                <w:sz w:val="28"/>
                <w:szCs w:val="28"/>
              </w:rPr>
              <w:t>年</w:t>
            </w:r>
            <w:r w:rsidR="00FB09A3">
              <w:rPr>
                <w:rFonts w:ascii="標楷體" w:eastAsia="標楷體" w:hAnsi="標楷體" w:hint="eastAsia"/>
                <w:sz w:val="28"/>
                <w:szCs w:val="28"/>
              </w:rPr>
              <w:t>3</w:t>
            </w:r>
            <w:r>
              <w:rPr>
                <w:rFonts w:ascii="標楷體" w:eastAsia="標楷體" w:hAnsi="標楷體"/>
                <w:sz w:val="28"/>
                <w:szCs w:val="28"/>
              </w:rPr>
              <w:t>月</w:t>
            </w:r>
            <w:r w:rsidR="00FB09A3">
              <w:rPr>
                <w:rFonts w:ascii="標楷體" w:eastAsia="標楷體" w:hAnsi="標楷體" w:hint="eastAsia"/>
                <w:sz w:val="28"/>
                <w:szCs w:val="28"/>
              </w:rPr>
              <w:t>2</w:t>
            </w:r>
            <w:r>
              <w:rPr>
                <w:rFonts w:ascii="標楷體" w:eastAsia="標楷體" w:hAnsi="標楷體"/>
                <w:sz w:val="28"/>
                <w:szCs w:val="28"/>
              </w:rPr>
              <w:t>日</w:t>
            </w:r>
          </w:p>
          <w:p w:rsidR="00121A79" w:rsidRDefault="001B7269">
            <w:pPr>
              <w:spacing w:line="320" w:lineRule="exact"/>
              <w:ind w:firstLine="700"/>
              <w:jc w:val="both"/>
              <w:rPr>
                <w:rFonts w:ascii="標楷體" w:eastAsia="標楷體" w:hAnsi="標楷體"/>
                <w:sz w:val="28"/>
                <w:szCs w:val="28"/>
              </w:rPr>
            </w:pPr>
            <w:r>
              <w:rPr>
                <w:rFonts w:ascii="標楷體" w:eastAsia="標楷體" w:hAnsi="標楷體"/>
                <w:sz w:val="28"/>
                <w:szCs w:val="28"/>
              </w:rPr>
              <w:t>發稿單位：書記廳</w:t>
            </w:r>
          </w:p>
          <w:p w:rsidR="00121A79" w:rsidRDefault="001B7269">
            <w:pPr>
              <w:spacing w:line="320" w:lineRule="exact"/>
              <w:ind w:firstLine="700"/>
              <w:jc w:val="both"/>
              <w:rPr>
                <w:rFonts w:ascii="標楷體" w:eastAsia="標楷體" w:hAnsi="標楷體"/>
                <w:sz w:val="28"/>
                <w:szCs w:val="28"/>
              </w:rPr>
            </w:pPr>
            <w:r>
              <w:rPr>
                <w:rFonts w:ascii="標楷體" w:eastAsia="標楷體" w:hAnsi="標楷體"/>
                <w:sz w:val="28"/>
                <w:szCs w:val="28"/>
              </w:rPr>
              <w:t>連 絡 人：書記官長 林玉苹</w:t>
            </w:r>
          </w:p>
          <w:p w:rsidR="00121A79" w:rsidRDefault="001B7269">
            <w:pPr>
              <w:spacing w:line="320" w:lineRule="exact"/>
              <w:ind w:firstLine="700"/>
              <w:jc w:val="both"/>
            </w:pPr>
            <w:r>
              <w:rPr>
                <w:rFonts w:ascii="標楷體" w:eastAsia="標楷體" w:hAnsi="標楷體"/>
                <w:sz w:val="28"/>
                <w:szCs w:val="28"/>
              </w:rPr>
              <w:t>連絡電話：02-23111639分機318</w:t>
            </w:r>
            <w:r>
              <w:rPr>
                <w:rFonts w:ascii="標楷體" w:eastAsia="標楷體" w:hAnsi="標楷體"/>
              </w:rPr>
              <w:t xml:space="preserve">  編號：</w:t>
            </w:r>
            <w:r>
              <w:rPr>
                <w:rFonts w:ascii="標楷體" w:eastAsia="標楷體" w:hAnsi="標楷體"/>
                <w:color w:val="000000"/>
              </w:rPr>
              <w:t>11</w:t>
            </w:r>
            <w:r w:rsidR="00FB09A3">
              <w:rPr>
                <w:rFonts w:ascii="標楷體" w:eastAsia="標楷體" w:hAnsi="標楷體"/>
                <w:color w:val="000000"/>
              </w:rPr>
              <w:t>1</w:t>
            </w:r>
            <w:r>
              <w:rPr>
                <w:rFonts w:ascii="標楷體" w:eastAsia="標楷體" w:hAnsi="標楷體"/>
                <w:color w:val="000000"/>
              </w:rPr>
              <w:t>-00</w:t>
            </w:r>
            <w:r w:rsidR="00FB09A3">
              <w:rPr>
                <w:rFonts w:ascii="標楷體" w:eastAsia="標楷體" w:hAnsi="標楷體"/>
                <w:color w:val="000000"/>
              </w:rPr>
              <w:t>2</w:t>
            </w:r>
          </w:p>
          <w:p w:rsidR="00121A79" w:rsidRDefault="00121A79">
            <w:pPr>
              <w:spacing w:line="320" w:lineRule="exact"/>
              <w:ind w:firstLine="600"/>
              <w:jc w:val="both"/>
              <w:rPr>
                <w:rFonts w:ascii="標楷體" w:eastAsia="標楷體" w:hAnsi="標楷體"/>
                <w:color w:val="000000"/>
              </w:rPr>
            </w:pPr>
          </w:p>
        </w:tc>
      </w:tr>
    </w:tbl>
    <w:p w:rsidR="00121A79" w:rsidRDefault="001B7269">
      <w:pPr>
        <w:spacing w:line="360" w:lineRule="auto"/>
        <w:jc w:val="center"/>
        <w:rPr>
          <w:rFonts w:ascii="標楷體" w:eastAsia="標楷體" w:hAnsi="標楷體"/>
          <w:b/>
          <w:sz w:val="32"/>
          <w:szCs w:val="32"/>
        </w:rPr>
      </w:pPr>
      <w:r>
        <w:rPr>
          <w:rFonts w:ascii="標楷體" w:eastAsia="標楷體" w:hAnsi="標楷體"/>
          <w:b/>
          <w:sz w:val="32"/>
          <w:szCs w:val="32"/>
        </w:rPr>
        <w:t>職務法庭就</w:t>
      </w:r>
      <w:r w:rsidR="00FB09A3">
        <w:rPr>
          <w:rFonts w:ascii="標楷體" w:eastAsia="標楷體" w:hAnsi="標楷體" w:hint="eastAsia"/>
          <w:b/>
          <w:sz w:val="32"/>
          <w:szCs w:val="32"/>
        </w:rPr>
        <w:t>蔡政佑法</w:t>
      </w:r>
      <w:r>
        <w:rPr>
          <w:rFonts w:ascii="標楷體" w:eastAsia="標楷體" w:hAnsi="標楷體"/>
          <w:b/>
          <w:sz w:val="32"/>
          <w:szCs w:val="32"/>
        </w:rPr>
        <w:t>官懲戒案件判決說明</w:t>
      </w:r>
    </w:p>
    <w:p w:rsidR="00121A79" w:rsidRDefault="001B7269" w:rsidP="00B07B92">
      <w:pPr>
        <w:spacing w:line="480" w:lineRule="exact"/>
        <w:jc w:val="both"/>
        <w:rPr>
          <w:rFonts w:ascii="標楷體" w:eastAsia="標楷體" w:hAnsi="標楷體"/>
          <w:sz w:val="28"/>
          <w:szCs w:val="28"/>
        </w:rPr>
      </w:pPr>
      <w:r>
        <w:rPr>
          <w:rFonts w:ascii="標楷體" w:eastAsia="標楷體" w:hAnsi="標楷體"/>
          <w:sz w:val="28"/>
          <w:szCs w:val="28"/>
        </w:rPr>
        <w:t xml:space="preserve">    本件（110年度懲字第</w:t>
      </w:r>
      <w:r w:rsidR="00F978EC">
        <w:rPr>
          <w:rFonts w:ascii="標楷體" w:eastAsia="標楷體" w:hAnsi="標楷體" w:hint="eastAsia"/>
          <w:sz w:val="28"/>
          <w:szCs w:val="28"/>
        </w:rPr>
        <w:t>3</w:t>
      </w:r>
      <w:r>
        <w:rPr>
          <w:rFonts w:ascii="標楷體" w:eastAsia="標楷體" w:hAnsi="標楷體"/>
          <w:sz w:val="28"/>
          <w:szCs w:val="28"/>
        </w:rPr>
        <w:t>號）</w:t>
      </w:r>
      <w:r w:rsidR="00FB09A3" w:rsidRPr="00FB09A3">
        <w:rPr>
          <w:rFonts w:ascii="標楷體" w:eastAsia="標楷體" w:hAnsi="標楷體"/>
          <w:sz w:val="28"/>
          <w:szCs w:val="28"/>
        </w:rPr>
        <w:t>被付懲戒人</w:t>
      </w:r>
      <w:r w:rsidR="00FB09A3" w:rsidRPr="00FB09A3">
        <w:rPr>
          <w:rFonts w:ascii="標楷體" w:eastAsia="標楷體" w:hAnsi="標楷體" w:hint="eastAsia"/>
          <w:sz w:val="28"/>
          <w:szCs w:val="28"/>
        </w:rPr>
        <w:t>蔡政佑</w:t>
      </w:r>
      <w:r w:rsidR="00FB09A3" w:rsidRPr="00FB09A3">
        <w:rPr>
          <w:rFonts w:ascii="標楷體" w:eastAsia="標楷體" w:hAnsi="標楷體"/>
          <w:sz w:val="28"/>
          <w:szCs w:val="28"/>
        </w:rPr>
        <w:t>懲戒案件</w:t>
      </w:r>
      <w:r w:rsidR="00FB09A3">
        <w:rPr>
          <w:rFonts w:ascii="標楷體" w:eastAsia="標楷體" w:hAnsi="標楷體" w:hint="eastAsia"/>
          <w:sz w:val="28"/>
          <w:szCs w:val="28"/>
        </w:rPr>
        <w:t>，</w:t>
      </w:r>
      <w:r>
        <w:rPr>
          <w:rFonts w:ascii="標楷體" w:eastAsia="標楷體" w:hAnsi="標楷體"/>
          <w:sz w:val="28"/>
          <w:szCs w:val="28"/>
        </w:rPr>
        <w:t>已於民國11</w:t>
      </w:r>
      <w:r w:rsidR="00FB09A3">
        <w:rPr>
          <w:rFonts w:ascii="標楷體" w:eastAsia="標楷體" w:hAnsi="標楷體"/>
          <w:sz w:val="28"/>
          <w:szCs w:val="28"/>
        </w:rPr>
        <w:t>1</w:t>
      </w:r>
      <w:r>
        <w:rPr>
          <w:rFonts w:ascii="標楷體" w:eastAsia="標楷體" w:hAnsi="標楷體"/>
          <w:sz w:val="28"/>
          <w:szCs w:val="28"/>
        </w:rPr>
        <w:t>年</w:t>
      </w:r>
      <w:r w:rsidR="00FB09A3">
        <w:rPr>
          <w:rFonts w:ascii="標楷體" w:eastAsia="標楷體" w:hAnsi="標楷體" w:hint="eastAsia"/>
          <w:sz w:val="28"/>
          <w:szCs w:val="28"/>
        </w:rPr>
        <w:t>3</w:t>
      </w:r>
      <w:r>
        <w:rPr>
          <w:rFonts w:ascii="標楷體" w:eastAsia="標楷體" w:hAnsi="標楷體"/>
          <w:sz w:val="28"/>
          <w:szCs w:val="28"/>
        </w:rPr>
        <w:t>月</w:t>
      </w:r>
      <w:r w:rsidR="00FB09A3">
        <w:rPr>
          <w:rFonts w:ascii="標楷體" w:eastAsia="標楷體" w:hAnsi="標楷體" w:hint="eastAsia"/>
          <w:sz w:val="28"/>
          <w:szCs w:val="28"/>
        </w:rPr>
        <w:t>2</w:t>
      </w:r>
      <w:r>
        <w:rPr>
          <w:rFonts w:ascii="標楷體" w:eastAsia="標楷體" w:hAnsi="標楷體"/>
          <w:sz w:val="28"/>
          <w:szCs w:val="28"/>
        </w:rPr>
        <w:t>日</w:t>
      </w:r>
      <w:r w:rsidR="00FB09A3">
        <w:rPr>
          <w:rFonts w:ascii="標楷體" w:eastAsia="標楷體" w:hAnsi="標楷體" w:hint="eastAsia"/>
          <w:sz w:val="28"/>
          <w:szCs w:val="28"/>
        </w:rPr>
        <w:t>上</w:t>
      </w:r>
      <w:r>
        <w:rPr>
          <w:rFonts w:ascii="標楷體" w:eastAsia="標楷體" w:hAnsi="標楷體"/>
          <w:sz w:val="28"/>
          <w:szCs w:val="28"/>
        </w:rPr>
        <w:t>午</w:t>
      </w:r>
      <w:r w:rsidR="00FB09A3">
        <w:rPr>
          <w:rFonts w:ascii="標楷體" w:eastAsia="標楷體" w:hAnsi="標楷體" w:hint="eastAsia"/>
          <w:sz w:val="28"/>
          <w:szCs w:val="28"/>
        </w:rPr>
        <w:t>10</w:t>
      </w:r>
      <w:r>
        <w:rPr>
          <w:rFonts w:ascii="標楷體" w:eastAsia="標楷體" w:hAnsi="標楷體"/>
          <w:sz w:val="28"/>
          <w:szCs w:val="28"/>
        </w:rPr>
        <w:t>時宣判，茲</w:t>
      </w:r>
      <w:r w:rsidR="00FB09A3">
        <w:rPr>
          <w:rFonts w:ascii="標楷體" w:eastAsia="標楷體" w:hAnsi="標楷體" w:hint="eastAsia"/>
          <w:sz w:val="28"/>
          <w:szCs w:val="28"/>
        </w:rPr>
        <w:t>簡要說明判決重點如下</w:t>
      </w:r>
      <w:r>
        <w:rPr>
          <w:rFonts w:ascii="標楷體" w:eastAsia="標楷體" w:hAnsi="標楷體"/>
          <w:sz w:val="28"/>
          <w:szCs w:val="28"/>
        </w:rPr>
        <w:t>：</w:t>
      </w:r>
    </w:p>
    <w:p w:rsidR="00FB09A3" w:rsidRPr="00FB09A3" w:rsidRDefault="00FB09A3" w:rsidP="00FB09A3">
      <w:pPr>
        <w:pStyle w:val="a3"/>
        <w:numPr>
          <w:ilvl w:val="0"/>
          <w:numId w:val="10"/>
        </w:numPr>
        <w:spacing w:line="480" w:lineRule="exact"/>
        <w:ind w:leftChars="0"/>
        <w:jc w:val="both"/>
        <w:rPr>
          <w:rFonts w:ascii="標楷體" w:eastAsia="標楷體" w:hAnsi="標楷體"/>
          <w:b/>
          <w:sz w:val="28"/>
          <w:szCs w:val="28"/>
        </w:rPr>
      </w:pPr>
      <w:r w:rsidRPr="00FB09A3">
        <w:rPr>
          <w:rFonts w:ascii="標楷體" w:eastAsia="標楷體" w:hAnsi="標楷體"/>
          <w:b/>
          <w:sz w:val="28"/>
          <w:szCs w:val="28"/>
        </w:rPr>
        <w:t>主文：</w:t>
      </w:r>
    </w:p>
    <w:p w:rsidR="00CE75C9" w:rsidRPr="00FB09A3" w:rsidRDefault="00FB09A3" w:rsidP="00CE75C9">
      <w:pPr>
        <w:pStyle w:val="a3"/>
        <w:spacing w:after="100" w:afterAutospacing="1" w:line="480" w:lineRule="exact"/>
        <w:ind w:leftChars="0" w:left="720"/>
        <w:jc w:val="both"/>
        <w:rPr>
          <w:rFonts w:ascii="標楷體" w:eastAsia="標楷體" w:hAnsi="標楷體"/>
          <w:b/>
          <w:sz w:val="28"/>
          <w:szCs w:val="28"/>
        </w:rPr>
      </w:pPr>
      <w:r w:rsidRPr="00FB09A3">
        <w:rPr>
          <w:rFonts w:ascii="標楷體" w:eastAsia="標楷體" w:hAnsi="標楷體" w:hint="eastAsia"/>
          <w:b/>
          <w:sz w:val="28"/>
          <w:szCs w:val="28"/>
        </w:rPr>
        <w:t>蔡政佑撤職，並停止任用貳年。</w:t>
      </w:r>
    </w:p>
    <w:p w:rsidR="00FB09A3" w:rsidRPr="00100E92" w:rsidRDefault="00FB09A3" w:rsidP="00FB09A3">
      <w:pPr>
        <w:spacing w:line="480" w:lineRule="exact"/>
        <w:ind w:left="841" w:hangingChars="300" w:hanging="841"/>
        <w:jc w:val="both"/>
        <w:rPr>
          <w:rFonts w:ascii="標楷體" w:eastAsia="標楷體" w:hAnsi="標楷體"/>
          <w:b/>
          <w:sz w:val="28"/>
          <w:szCs w:val="28"/>
        </w:rPr>
      </w:pPr>
      <w:r w:rsidRPr="00100E92">
        <w:rPr>
          <w:rFonts w:ascii="標楷體" w:eastAsia="標楷體" w:hAnsi="標楷體"/>
          <w:b/>
          <w:sz w:val="28"/>
          <w:szCs w:val="28"/>
        </w:rPr>
        <w:t>貳、</w:t>
      </w:r>
      <w:r>
        <w:rPr>
          <w:rFonts w:ascii="標楷體" w:eastAsia="標楷體" w:hAnsi="標楷體" w:hint="eastAsia"/>
          <w:b/>
          <w:sz w:val="28"/>
          <w:szCs w:val="28"/>
        </w:rPr>
        <w:t>本件認定被付懲戒人之違失事實</w:t>
      </w:r>
      <w:r w:rsidRPr="00100E92">
        <w:rPr>
          <w:rFonts w:ascii="標楷體" w:eastAsia="標楷體" w:hAnsi="標楷體" w:hint="eastAsia"/>
          <w:b/>
          <w:sz w:val="28"/>
          <w:szCs w:val="28"/>
        </w:rPr>
        <w:t>：</w:t>
      </w:r>
    </w:p>
    <w:p w:rsidR="00FB09A3" w:rsidRPr="008C1D74" w:rsidRDefault="00FB09A3" w:rsidP="00FB09A3">
      <w:pPr>
        <w:spacing w:line="480" w:lineRule="exact"/>
        <w:ind w:left="566" w:hangingChars="202" w:hanging="566"/>
        <w:jc w:val="both"/>
        <w:rPr>
          <w:rFonts w:ascii="標楷體" w:eastAsia="標楷體" w:hAnsi="標楷體"/>
          <w:sz w:val="28"/>
          <w:szCs w:val="28"/>
        </w:rPr>
      </w:pPr>
      <w:r w:rsidRPr="008C1D74">
        <w:rPr>
          <w:rFonts w:ascii="標楷體" w:eastAsia="標楷體" w:hAnsi="標楷體" w:hint="eastAsia"/>
          <w:sz w:val="28"/>
          <w:szCs w:val="28"/>
        </w:rPr>
        <w:t>一、被付懲戒人與甲法官於109年5、6月間均任職於桃園地院，2人於109年間</w:t>
      </w:r>
      <w:r w:rsidR="00A534C3">
        <w:rPr>
          <w:rFonts w:ascii="標楷體" w:eastAsia="標楷體" w:hAnsi="標楷體" w:hint="eastAsia"/>
          <w:sz w:val="28"/>
          <w:szCs w:val="28"/>
        </w:rPr>
        <w:t>被</w:t>
      </w:r>
      <w:r w:rsidRPr="008C1D74">
        <w:rPr>
          <w:rFonts w:ascii="標楷體" w:eastAsia="標楷體" w:hAnsi="標楷體" w:hint="eastAsia"/>
          <w:sz w:val="28"/>
          <w:szCs w:val="28"/>
        </w:rPr>
        <w:t>分派在刑事庭第18辦公室之前後座位（甲法官在前、被付懲戒人在後），</w:t>
      </w:r>
      <w:r w:rsidR="00CE33A5">
        <w:rPr>
          <w:rFonts w:ascii="標楷體" w:eastAsia="標楷體" w:hAnsi="標楷體" w:hint="eastAsia"/>
          <w:sz w:val="28"/>
          <w:szCs w:val="28"/>
        </w:rPr>
        <w:t>2</w:t>
      </w:r>
      <w:r w:rsidRPr="008C1D74">
        <w:rPr>
          <w:rFonts w:ascii="標楷體" w:eastAsia="標楷體" w:hAnsi="標楷體" w:hint="eastAsia"/>
          <w:sz w:val="28"/>
          <w:szCs w:val="28"/>
        </w:rPr>
        <w:t>人座位間以OA隔板區隔，高度足以遮掩電腦桌置放電腦後之區域，而各有獨立辦公區域。</w:t>
      </w:r>
    </w:p>
    <w:p w:rsidR="00FB09A3" w:rsidRPr="008C1D74" w:rsidRDefault="00FB09A3" w:rsidP="00FB09A3">
      <w:pPr>
        <w:spacing w:line="480" w:lineRule="exact"/>
        <w:ind w:left="566" w:hangingChars="202" w:hanging="566"/>
        <w:jc w:val="both"/>
        <w:rPr>
          <w:rFonts w:ascii="標楷體" w:eastAsia="標楷體" w:hAnsi="標楷體"/>
          <w:sz w:val="28"/>
          <w:szCs w:val="28"/>
        </w:rPr>
      </w:pPr>
      <w:r w:rsidRPr="008C1D74">
        <w:rPr>
          <w:rFonts w:ascii="標楷體" w:eastAsia="標楷體" w:hAnsi="標楷體" w:hint="eastAsia"/>
          <w:sz w:val="28"/>
          <w:szCs w:val="28"/>
        </w:rPr>
        <w:t>二、被付懲戒人有下列違失行為：</w:t>
      </w:r>
    </w:p>
    <w:p w:rsidR="00FB09A3" w:rsidRPr="008C1D74" w:rsidRDefault="00FB09A3" w:rsidP="00FB09A3">
      <w:pPr>
        <w:spacing w:line="480" w:lineRule="exact"/>
        <w:ind w:left="848" w:hangingChars="303" w:hanging="848"/>
        <w:jc w:val="both"/>
        <w:rPr>
          <w:rFonts w:ascii="標楷體" w:eastAsia="標楷體" w:hAnsi="標楷體"/>
          <w:sz w:val="28"/>
          <w:szCs w:val="28"/>
        </w:rPr>
      </w:pPr>
      <w:r w:rsidRPr="008C1D74">
        <w:rPr>
          <w:rFonts w:ascii="標楷體" w:eastAsia="標楷體" w:hAnsi="標楷體" w:hint="eastAsia"/>
          <w:sz w:val="28"/>
          <w:szCs w:val="28"/>
        </w:rPr>
        <w:t>（ㄧ）於109年5月25日中午12時30分許至下午2時35分間，在前開辦公室內，利用甲法官與其他同事外出而獨自在該辦公室之際，進入甲法官之辦公座位區域，瀏覽電腦內甲法官之LINE通訊軟體帳號內之好友名單、及甲法官與乙男於同日上午5時52分至下午2時35分之談話、傳送檔案內容，並於同日下午2時35分許，以其行動電話將上開通訊內容頁面拍攝為照片檔，而竊錄甲法官非公開之活動、談話及身體隱私部位。又於翌日以行動電話登入Hotmail信箱，將上開拍攝所得照片作為附件，寄送至自己之YAHOO</w:t>
      </w:r>
      <w:r>
        <w:rPr>
          <w:rFonts w:ascii="標楷體" w:eastAsia="標楷體" w:hAnsi="標楷體" w:hint="eastAsia"/>
          <w:sz w:val="28"/>
          <w:szCs w:val="28"/>
        </w:rPr>
        <w:t>信箱內再行列印翻拍存檔。被付懲戒人主觀上認甲法官為已婚，</w:t>
      </w:r>
      <w:r w:rsidRPr="008C1D74">
        <w:rPr>
          <w:rFonts w:ascii="標楷體" w:eastAsia="標楷體" w:hAnsi="標楷體" w:hint="eastAsia"/>
          <w:sz w:val="28"/>
          <w:szCs w:val="28"/>
        </w:rPr>
        <w:t>將上開列印畫面交付桃園地院院長以為行政調查之佐證，甲法官經院長約詢後始悉上情。</w:t>
      </w:r>
    </w:p>
    <w:p w:rsidR="00FB09A3" w:rsidRDefault="00FB09A3" w:rsidP="00CE75C9">
      <w:pPr>
        <w:spacing w:after="100" w:afterAutospacing="1" w:line="480" w:lineRule="exact"/>
        <w:ind w:left="848" w:hangingChars="303" w:hanging="848"/>
        <w:jc w:val="both"/>
        <w:rPr>
          <w:rFonts w:ascii="標楷體" w:eastAsia="標楷體" w:hAnsi="標楷體"/>
          <w:sz w:val="28"/>
          <w:szCs w:val="28"/>
        </w:rPr>
      </w:pPr>
      <w:r w:rsidRPr="008C1D74">
        <w:rPr>
          <w:rFonts w:ascii="標楷體" w:eastAsia="標楷體" w:hAnsi="標楷體" w:hint="eastAsia"/>
          <w:sz w:val="28"/>
          <w:szCs w:val="28"/>
        </w:rPr>
        <w:t>（二）桃園地院院長約詢甲法官後，得悉甲法官</w:t>
      </w:r>
      <w:r>
        <w:rPr>
          <w:rFonts w:ascii="標楷體" w:eastAsia="標楷體" w:hAnsi="標楷體" w:hint="eastAsia"/>
          <w:sz w:val="28"/>
          <w:szCs w:val="28"/>
        </w:rPr>
        <w:t>之身分證配偶欄空白</w:t>
      </w:r>
      <w:r w:rsidRPr="008C1D74">
        <w:rPr>
          <w:rFonts w:ascii="標楷體" w:eastAsia="標楷體" w:hAnsi="標楷體" w:hint="eastAsia"/>
          <w:sz w:val="28"/>
          <w:szCs w:val="28"/>
        </w:rPr>
        <w:t>，並</w:t>
      </w:r>
      <w:r w:rsidRPr="008C1D74">
        <w:rPr>
          <w:rFonts w:ascii="標楷體" w:eastAsia="標楷體" w:hAnsi="標楷體" w:hint="eastAsia"/>
          <w:sz w:val="28"/>
          <w:szCs w:val="28"/>
        </w:rPr>
        <w:lastRenderedPageBreak/>
        <w:t>轉知被付懲戒人，詎被付懲戒人仍於109年6月17日下午4時27分許，</w:t>
      </w:r>
      <w:r w:rsidR="00A534C3">
        <w:rPr>
          <w:rFonts w:ascii="標楷體" w:eastAsia="標楷體" w:hAnsi="標楷體" w:hint="eastAsia"/>
          <w:sz w:val="28"/>
          <w:szCs w:val="28"/>
        </w:rPr>
        <w:t>利用</w:t>
      </w:r>
      <w:r w:rsidRPr="008C1D74">
        <w:rPr>
          <w:rFonts w:ascii="標楷體" w:eastAsia="標楷體" w:hAnsi="標楷體" w:hint="eastAsia"/>
          <w:sz w:val="28"/>
          <w:szCs w:val="28"/>
        </w:rPr>
        <w:t>甲法官及其他同事外出，其獨自在上開辦公室之際，進入甲法官辦公座位區域，利用甲法官未關閉LINE對話視窗之機會，瀏覽甲法官與乙男於109年6月17日上午11時10分許起至同日下午4時22分許止之通訊軟體對話內容，再以其行動電話拍攝上開內容共計21張照片，竊錄甲法官非公開之談話。</w:t>
      </w:r>
    </w:p>
    <w:p w:rsidR="00FB09A3" w:rsidRPr="00CF6017" w:rsidRDefault="00FB09A3" w:rsidP="00FB09A3">
      <w:pPr>
        <w:spacing w:line="480" w:lineRule="exact"/>
        <w:ind w:left="566" w:hangingChars="202" w:hanging="566"/>
        <w:jc w:val="both"/>
        <w:rPr>
          <w:rFonts w:ascii="標楷體" w:eastAsia="標楷體" w:hAnsi="標楷體"/>
          <w:b/>
          <w:sz w:val="28"/>
          <w:szCs w:val="28"/>
        </w:rPr>
      </w:pPr>
      <w:r w:rsidRPr="00CF6017">
        <w:rPr>
          <w:rFonts w:ascii="標楷體" w:eastAsia="標楷體" w:hAnsi="標楷體" w:hint="eastAsia"/>
          <w:b/>
          <w:sz w:val="28"/>
          <w:szCs w:val="28"/>
        </w:rPr>
        <w:t>參、本件</w:t>
      </w:r>
      <w:r>
        <w:rPr>
          <w:rFonts w:ascii="標楷體" w:eastAsia="標楷體" w:hAnsi="標楷體" w:hint="eastAsia"/>
          <w:b/>
          <w:sz w:val="28"/>
          <w:szCs w:val="28"/>
        </w:rPr>
        <w:t>應受</w:t>
      </w:r>
      <w:r w:rsidRPr="00CF6017">
        <w:rPr>
          <w:rFonts w:ascii="標楷體" w:eastAsia="標楷體" w:hAnsi="標楷體" w:hint="eastAsia"/>
          <w:b/>
          <w:sz w:val="28"/>
          <w:szCs w:val="28"/>
        </w:rPr>
        <w:t>懲戒之法律依據：</w:t>
      </w:r>
    </w:p>
    <w:p w:rsidR="00FB09A3" w:rsidRDefault="00FB09A3" w:rsidP="00FB09A3">
      <w:pPr>
        <w:spacing w:line="480" w:lineRule="exact"/>
        <w:ind w:left="564" w:hanging="564"/>
        <w:jc w:val="both"/>
        <w:rPr>
          <w:rFonts w:ascii="標楷體" w:eastAsia="標楷體" w:hAnsi="標楷體"/>
          <w:sz w:val="28"/>
          <w:szCs w:val="28"/>
        </w:rPr>
      </w:pPr>
      <w:r>
        <w:rPr>
          <w:rFonts w:ascii="標楷體" w:eastAsia="標楷體" w:hAnsi="標楷體" w:hint="eastAsia"/>
          <w:sz w:val="28"/>
          <w:szCs w:val="28"/>
        </w:rPr>
        <w:t>一、</w:t>
      </w:r>
      <w:r w:rsidRPr="008C1D74">
        <w:rPr>
          <w:rFonts w:ascii="標楷體" w:eastAsia="標楷體" w:hAnsi="標楷體" w:hint="eastAsia"/>
          <w:sz w:val="28"/>
          <w:szCs w:val="28"/>
        </w:rPr>
        <w:t>法官法第49條第1項規定：法官有第30條第2項各款所列情事之一，有懲戒之必要者，應受懲戒</w:t>
      </w:r>
      <w:r>
        <w:rPr>
          <w:rFonts w:ascii="標楷體" w:eastAsia="標楷體" w:hAnsi="標楷體" w:hint="eastAsia"/>
          <w:sz w:val="28"/>
          <w:szCs w:val="28"/>
        </w:rPr>
        <w:t>。又</w:t>
      </w:r>
      <w:r w:rsidRPr="008C1D74">
        <w:rPr>
          <w:rFonts w:ascii="標楷體" w:eastAsia="標楷體" w:hAnsi="標楷體" w:hint="eastAsia"/>
          <w:sz w:val="28"/>
          <w:szCs w:val="28"/>
        </w:rPr>
        <w:t>法官法第30條第2項規定</w:t>
      </w:r>
      <w:r>
        <w:rPr>
          <w:rFonts w:ascii="標楷體" w:eastAsia="標楷體" w:hAnsi="標楷體" w:hint="eastAsia"/>
          <w:sz w:val="28"/>
          <w:szCs w:val="28"/>
        </w:rPr>
        <w:t>：</w:t>
      </w:r>
      <w:r w:rsidRPr="008C1D74">
        <w:rPr>
          <w:rFonts w:ascii="標楷體" w:eastAsia="標楷體" w:hAnsi="標楷體" w:hint="eastAsia"/>
          <w:sz w:val="28"/>
          <w:szCs w:val="28"/>
        </w:rPr>
        <w:t>法官有下列各款情事之一者，應付個案評鑑：．．．四、違反第15條第1項、第16條或第18條規定，情節重大。．．．七、違反法官倫理規範，情節重大。</w:t>
      </w:r>
      <w:r>
        <w:rPr>
          <w:rFonts w:ascii="標楷體" w:eastAsia="標楷體" w:hAnsi="標楷體" w:hint="eastAsia"/>
          <w:sz w:val="28"/>
          <w:szCs w:val="28"/>
        </w:rPr>
        <w:t>而</w:t>
      </w:r>
      <w:r w:rsidRPr="008C1D74">
        <w:rPr>
          <w:rFonts w:ascii="標楷體" w:eastAsia="標楷體" w:hAnsi="標楷體" w:hint="eastAsia"/>
          <w:sz w:val="28"/>
          <w:szCs w:val="28"/>
        </w:rPr>
        <w:t>法官法第18條第1項前段明定：法官不得為有損其職位尊嚴或職務信任之行為</w:t>
      </w:r>
      <w:r>
        <w:rPr>
          <w:rFonts w:ascii="標楷體" w:eastAsia="標楷體" w:hAnsi="標楷體" w:hint="eastAsia"/>
          <w:sz w:val="28"/>
          <w:szCs w:val="28"/>
        </w:rPr>
        <w:t>；</w:t>
      </w:r>
      <w:r w:rsidRPr="008C1D74">
        <w:rPr>
          <w:rFonts w:ascii="標楷體" w:eastAsia="標楷體" w:hAnsi="標楷體" w:hint="eastAsia"/>
          <w:sz w:val="28"/>
          <w:szCs w:val="28"/>
        </w:rPr>
        <w:t>法官倫理規範第5條亦明</w:t>
      </w:r>
      <w:r>
        <w:rPr>
          <w:rFonts w:ascii="標楷體" w:eastAsia="標楷體" w:hAnsi="標楷體" w:hint="eastAsia"/>
          <w:sz w:val="28"/>
          <w:szCs w:val="28"/>
        </w:rPr>
        <w:t>定：</w:t>
      </w:r>
      <w:r w:rsidRPr="008C1D74">
        <w:rPr>
          <w:rFonts w:ascii="標楷體" w:eastAsia="標楷體" w:hAnsi="標楷體" w:hint="eastAsia"/>
          <w:sz w:val="28"/>
          <w:szCs w:val="28"/>
        </w:rPr>
        <w:t>法官應保有高尚品格，謹言慎行，廉潔自持，避免有不當或易被認為損及司法形象之行為。</w:t>
      </w:r>
    </w:p>
    <w:p w:rsidR="00FB09A3" w:rsidRDefault="00FB09A3" w:rsidP="00FB09A3">
      <w:pPr>
        <w:spacing w:line="480" w:lineRule="exact"/>
        <w:ind w:left="564" w:hanging="564"/>
        <w:jc w:val="both"/>
        <w:rPr>
          <w:rFonts w:ascii="標楷體" w:eastAsia="標楷體" w:hAnsi="標楷體"/>
          <w:sz w:val="28"/>
          <w:szCs w:val="28"/>
        </w:rPr>
      </w:pPr>
      <w:r>
        <w:rPr>
          <w:rFonts w:ascii="標楷體" w:eastAsia="標楷體" w:hAnsi="標楷體" w:hint="eastAsia"/>
          <w:sz w:val="28"/>
          <w:szCs w:val="28"/>
        </w:rPr>
        <w:t>二、</w:t>
      </w:r>
      <w:r w:rsidRPr="00A24B07">
        <w:rPr>
          <w:rFonts w:ascii="標楷體" w:eastAsia="標楷體" w:hAnsi="標楷體" w:hint="eastAsia"/>
          <w:sz w:val="28"/>
          <w:szCs w:val="28"/>
        </w:rPr>
        <w:t>被付懲戒人</w:t>
      </w:r>
      <w:r w:rsidRPr="008C1D74">
        <w:rPr>
          <w:rFonts w:ascii="標楷體" w:eastAsia="標楷體" w:hAnsi="標楷體" w:hint="eastAsia"/>
          <w:sz w:val="28"/>
          <w:szCs w:val="28"/>
        </w:rPr>
        <w:t>於109年5月25日所為之竊錄行為</w:t>
      </w:r>
      <w:r>
        <w:rPr>
          <w:rFonts w:ascii="標楷體" w:eastAsia="標楷體" w:hAnsi="標楷體" w:hint="eastAsia"/>
          <w:sz w:val="28"/>
          <w:szCs w:val="28"/>
        </w:rPr>
        <w:t>，</w:t>
      </w:r>
      <w:r w:rsidRPr="008C1D74">
        <w:rPr>
          <w:rFonts w:ascii="標楷體" w:eastAsia="標楷體" w:hAnsi="標楷體" w:hint="eastAsia"/>
          <w:sz w:val="28"/>
          <w:szCs w:val="28"/>
        </w:rPr>
        <w:t>不僅拍攝顯示在螢幕上之單一視窗頁面，甚且點入甲法官之LINE帳號，檢閱甲法官與乙男同日稍早之對話內容</w:t>
      </w:r>
      <w:r>
        <w:rPr>
          <w:rFonts w:ascii="標楷體" w:eastAsia="標楷體" w:hAnsi="標楷體" w:hint="eastAsia"/>
          <w:sz w:val="28"/>
          <w:szCs w:val="28"/>
        </w:rPr>
        <w:t>，並查得親密</w:t>
      </w:r>
      <w:r w:rsidRPr="008C1D74">
        <w:rPr>
          <w:rFonts w:ascii="標楷體" w:eastAsia="標楷體" w:hAnsi="標楷體" w:hint="eastAsia"/>
          <w:sz w:val="28"/>
          <w:szCs w:val="28"/>
        </w:rPr>
        <w:t>照片</w:t>
      </w:r>
      <w:r>
        <w:rPr>
          <w:rFonts w:ascii="標楷體" w:eastAsia="標楷體" w:hAnsi="標楷體" w:hint="eastAsia"/>
          <w:sz w:val="28"/>
          <w:szCs w:val="28"/>
        </w:rPr>
        <w:t>檔案</w:t>
      </w:r>
      <w:r w:rsidRPr="008C1D74">
        <w:rPr>
          <w:rFonts w:ascii="標楷體" w:eastAsia="標楷體" w:hAnsi="標楷體" w:hint="eastAsia"/>
          <w:sz w:val="28"/>
          <w:szCs w:val="28"/>
        </w:rPr>
        <w:t>，將之翻拍存檔，已違法侵入甲法</w:t>
      </w:r>
      <w:r>
        <w:rPr>
          <w:rFonts w:ascii="標楷體" w:eastAsia="標楷體" w:hAnsi="標楷體" w:hint="eastAsia"/>
          <w:sz w:val="28"/>
          <w:szCs w:val="28"/>
        </w:rPr>
        <w:t>官之私領域，窺視甲法官之私人活動，嚴重影響甲法官人格之自由發展</w:t>
      </w:r>
      <w:r>
        <w:rPr>
          <w:rFonts w:ascii="新細明體" w:hAnsi="新細明體" w:hint="eastAsia"/>
          <w:sz w:val="28"/>
          <w:szCs w:val="28"/>
        </w:rPr>
        <w:t>；</w:t>
      </w:r>
      <w:r w:rsidRPr="008C1D74">
        <w:rPr>
          <w:rFonts w:ascii="標楷體" w:eastAsia="標楷體" w:hAnsi="標楷體" w:hint="eastAsia"/>
          <w:sz w:val="28"/>
          <w:szCs w:val="28"/>
        </w:rPr>
        <w:t>而被付懲戒人經桃園地院院長告知</w:t>
      </w:r>
      <w:r>
        <w:rPr>
          <w:rFonts w:ascii="標楷體" w:eastAsia="標楷體" w:hAnsi="標楷體" w:hint="eastAsia"/>
          <w:sz w:val="28"/>
          <w:szCs w:val="28"/>
        </w:rPr>
        <w:t>經</w:t>
      </w:r>
      <w:r w:rsidRPr="008C1D74">
        <w:rPr>
          <w:rFonts w:ascii="標楷體" w:eastAsia="標楷體" w:hAnsi="標楷體" w:hint="eastAsia"/>
          <w:sz w:val="28"/>
          <w:szCs w:val="28"/>
        </w:rPr>
        <w:t>初步調查</w:t>
      </w:r>
      <w:r>
        <w:rPr>
          <w:rFonts w:ascii="標楷體" w:eastAsia="標楷體" w:hAnsi="標楷體" w:hint="eastAsia"/>
          <w:sz w:val="28"/>
          <w:szCs w:val="28"/>
        </w:rPr>
        <w:t>甲法官、乙男戶籍上配偶欄均為空白，竟</w:t>
      </w:r>
      <w:r w:rsidRPr="008C1D74">
        <w:rPr>
          <w:rFonts w:ascii="標楷體" w:eastAsia="標楷體" w:hAnsi="標楷體" w:hint="eastAsia"/>
          <w:sz w:val="28"/>
          <w:szCs w:val="28"/>
        </w:rPr>
        <w:t>為證實其個人</w:t>
      </w:r>
      <w:r>
        <w:rPr>
          <w:rFonts w:ascii="標楷體" w:eastAsia="標楷體" w:hAnsi="標楷體" w:hint="eastAsia"/>
          <w:sz w:val="28"/>
          <w:szCs w:val="28"/>
        </w:rPr>
        <w:t>對甲法官</w:t>
      </w:r>
      <w:r w:rsidRPr="008C1D74">
        <w:rPr>
          <w:rFonts w:ascii="標楷體" w:eastAsia="標楷體" w:hAnsi="標楷體" w:hint="eastAsia"/>
          <w:sz w:val="28"/>
          <w:szCs w:val="28"/>
        </w:rPr>
        <w:t>之懷疑，於109年6月17日再次點入甲法官未關閉之LINE對話視窗，不惜採取窺探甲法官私領域活動之手段，檢閱甲法官與乙男當天稍早之對話內容，更以手機翻拍該等對話頁面，侵害甲法官之隱私權與人格權甚鉅。上開違失行為，侵害他人隱私權與人格權，且與職司審判者所應具備之高尚人格相違背，對於司法所應具備之正直、磊落形</w:t>
      </w:r>
      <w:r>
        <w:rPr>
          <w:rFonts w:ascii="標楷體" w:eastAsia="標楷體" w:hAnsi="標楷體" w:hint="eastAsia"/>
          <w:sz w:val="28"/>
          <w:szCs w:val="28"/>
        </w:rPr>
        <w:t>象，戕害甚鉅。被付懲戒人知法犯法，因上開違失行為經判</w:t>
      </w:r>
      <w:r w:rsidRPr="008C1D74">
        <w:rPr>
          <w:rFonts w:ascii="標楷體" w:eastAsia="標楷體" w:hAnsi="標楷體" w:hint="eastAsia"/>
          <w:sz w:val="28"/>
          <w:szCs w:val="28"/>
        </w:rPr>
        <w:t>處罪刑，</w:t>
      </w:r>
      <w:r>
        <w:rPr>
          <w:rFonts w:ascii="標楷體" w:eastAsia="標楷體" w:hAnsi="標楷體" w:hint="eastAsia"/>
          <w:sz w:val="28"/>
          <w:szCs w:val="28"/>
        </w:rPr>
        <w:t>已損及法官</w:t>
      </w:r>
      <w:r w:rsidRPr="008C1D74">
        <w:rPr>
          <w:rFonts w:ascii="標楷體" w:eastAsia="標楷體" w:hAnsi="標楷體" w:hint="eastAsia"/>
          <w:sz w:val="28"/>
          <w:szCs w:val="28"/>
        </w:rPr>
        <w:t>之職位尊嚴與職務信任。</w:t>
      </w:r>
    </w:p>
    <w:p w:rsidR="00FB09A3" w:rsidRPr="004C231C" w:rsidRDefault="00FB09A3" w:rsidP="00CE75C9">
      <w:pPr>
        <w:spacing w:after="100" w:afterAutospacing="1" w:line="480" w:lineRule="exact"/>
        <w:ind w:left="561" w:hanging="561"/>
        <w:jc w:val="both"/>
        <w:rPr>
          <w:rFonts w:ascii="標楷體" w:eastAsia="標楷體" w:hAnsi="標楷體"/>
          <w:sz w:val="28"/>
          <w:szCs w:val="28"/>
        </w:rPr>
      </w:pPr>
      <w:r>
        <w:rPr>
          <w:rFonts w:ascii="標楷體" w:eastAsia="標楷體" w:hAnsi="標楷體" w:hint="eastAsia"/>
          <w:sz w:val="28"/>
          <w:szCs w:val="28"/>
        </w:rPr>
        <w:t>三、是</w:t>
      </w:r>
      <w:r w:rsidRPr="004C231C">
        <w:rPr>
          <w:rFonts w:ascii="標楷體" w:eastAsia="標楷體" w:hAnsi="標楷體" w:hint="eastAsia"/>
          <w:sz w:val="28"/>
          <w:szCs w:val="28"/>
        </w:rPr>
        <w:t>被付懲戒人違反法官法第18條第1項前段、法官倫理規範第5條情節重大，而有懲戒必要</w:t>
      </w:r>
      <w:r>
        <w:rPr>
          <w:rFonts w:ascii="標楷體" w:eastAsia="標楷體" w:hAnsi="標楷體" w:hint="eastAsia"/>
          <w:sz w:val="28"/>
          <w:szCs w:val="28"/>
        </w:rPr>
        <w:t>。</w:t>
      </w:r>
    </w:p>
    <w:p w:rsidR="00FB09A3" w:rsidRPr="00A24B07" w:rsidRDefault="00FB09A3" w:rsidP="00FB09A3">
      <w:pPr>
        <w:spacing w:line="480" w:lineRule="exact"/>
        <w:ind w:left="566" w:hangingChars="202" w:hanging="566"/>
        <w:jc w:val="both"/>
        <w:rPr>
          <w:rFonts w:ascii="標楷體" w:eastAsia="標楷體" w:hAnsi="標楷體"/>
          <w:b/>
          <w:sz w:val="28"/>
          <w:szCs w:val="28"/>
        </w:rPr>
      </w:pPr>
      <w:r w:rsidRPr="00A24B07">
        <w:rPr>
          <w:rFonts w:ascii="標楷體" w:eastAsia="標楷體" w:hAnsi="標楷體" w:hint="eastAsia"/>
          <w:b/>
          <w:sz w:val="28"/>
          <w:szCs w:val="28"/>
        </w:rPr>
        <w:t>肆、</w:t>
      </w:r>
      <w:r>
        <w:rPr>
          <w:rFonts w:ascii="標楷體" w:eastAsia="標楷體" w:hAnsi="標楷體" w:hint="eastAsia"/>
          <w:b/>
          <w:sz w:val="28"/>
          <w:szCs w:val="28"/>
        </w:rPr>
        <w:t>本件</w:t>
      </w:r>
      <w:r w:rsidRPr="00A24B07">
        <w:rPr>
          <w:rFonts w:ascii="標楷體" w:eastAsia="標楷體" w:hAnsi="標楷體" w:hint="eastAsia"/>
          <w:b/>
          <w:sz w:val="28"/>
          <w:szCs w:val="28"/>
        </w:rPr>
        <w:t>懲戒處分</w:t>
      </w:r>
      <w:r>
        <w:rPr>
          <w:rFonts w:ascii="標楷體" w:eastAsia="標楷體" w:hAnsi="標楷體" w:hint="eastAsia"/>
          <w:b/>
          <w:sz w:val="28"/>
          <w:szCs w:val="28"/>
        </w:rPr>
        <w:t>種類與輕重程度</w:t>
      </w:r>
      <w:r w:rsidRPr="00A24B07">
        <w:rPr>
          <w:rFonts w:ascii="標楷體" w:eastAsia="標楷體" w:hAnsi="標楷體" w:hint="eastAsia"/>
          <w:b/>
          <w:sz w:val="28"/>
          <w:szCs w:val="28"/>
        </w:rPr>
        <w:t>之理由說明：</w:t>
      </w:r>
    </w:p>
    <w:p w:rsidR="00FB09A3" w:rsidRDefault="00FB09A3" w:rsidP="00FB09A3">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一、</w:t>
      </w:r>
      <w:r w:rsidRPr="00A24B07">
        <w:rPr>
          <w:rFonts w:ascii="標楷體" w:eastAsia="標楷體" w:hAnsi="標楷體" w:hint="eastAsia"/>
          <w:sz w:val="28"/>
          <w:szCs w:val="28"/>
        </w:rPr>
        <w:t>有關懲戒處分之輕重程度，依法官法第60條第1項規定授權訂定之職務法庭懲戒案件審理規則第73條準用公務員懲戒法第10條之規定，懲戒處分應審酌一切情狀，尤應注意下列事項，為處分輕重之標準：一、行為之動機。二、行為之目的。三、行為時所受之刺激。四、行為之手段。五、行為人之生活狀況。六、行為人之品行。七、行為人違反義務之程度。八、行為所生之損害或影響。九、行為後之態度。</w:t>
      </w:r>
      <w:r>
        <w:rPr>
          <w:rFonts w:ascii="標楷體" w:eastAsia="標楷體" w:hAnsi="標楷體" w:hint="eastAsia"/>
          <w:sz w:val="28"/>
          <w:szCs w:val="28"/>
        </w:rPr>
        <w:t>亦即</w:t>
      </w:r>
      <w:r w:rsidR="00CE75C9">
        <w:rPr>
          <w:rFonts w:ascii="標楷體" w:eastAsia="標楷體" w:hAnsi="標楷體" w:hint="eastAsia"/>
          <w:sz w:val="28"/>
          <w:szCs w:val="28"/>
        </w:rPr>
        <w:t>，</w:t>
      </w:r>
      <w:r w:rsidRPr="00A24B07">
        <w:rPr>
          <w:rFonts w:ascii="標楷體" w:eastAsia="標楷體" w:hAnsi="標楷體" w:hint="eastAsia"/>
          <w:sz w:val="28"/>
          <w:szCs w:val="28"/>
        </w:rPr>
        <w:t>應以違失行為之情節、違反義務程度、對於其職位尊嚴所生損害等為基礎，兼衡被付懲戒人任職期間之品行、行為後態度等情狀，為整體評價。</w:t>
      </w:r>
    </w:p>
    <w:p w:rsidR="00FB09A3" w:rsidRDefault="00FB09A3" w:rsidP="00CE75C9">
      <w:pPr>
        <w:spacing w:after="100" w:afterAutospacing="1"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二、考量</w:t>
      </w:r>
      <w:r w:rsidRPr="004C231C">
        <w:rPr>
          <w:rFonts w:ascii="標楷體" w:eastAsia="標楷體" w:hAnsi="標楷體" w:hint="eastAsia"/>
          <w:sz w:val="28"/>
          <w:szCs w:val="28"/>
        </w:rPr>
        <w:t>被付懲戒人</w:t>
      </w:r>
      <w:r>
        <w:rPr>
          <w:rFonts w:ascii="標楷體" w:eastAsia="標楷體" w:hAnsi="標楷體" w:hint="eastAsia"/>
          <w:sz w:val="28"/>
          <w:szCs w:val="28"/>
        </w:rPr>
        <w:t>在發現甲法官與乙男之LINE對話視窗後，竟點入並刻意查找甲法官與乙男間之對話內容與照片，加以竊錄並</w:t>
      </w:r>
      <w:r w:rsidRPr="004C231C">
        <w:rPr>
          <w:rFonts w:ascii="標楷體" w:eastAsia="標楷體" w:hAnsi="標楷體" w:hint="eastAsia"/>
          <w:sz w:val="28"/>
          <w:szCs w:val="28"/>
        </w:rPr>
        <w:t>持交桃園地院院長，檢舉甲法官涉及婚外情</w:t>
      </w:r>
      <w:r>
        <w:rPr>
          <w:rFonts w:ascii="標楷體" w:eastAsia="標楷體" w:hAnsi="標楷體" w:hint="eastAsia"/>
          <w:sz w:val="28"/>
          <w:szCs w:val="28"/>
        </w:rPr>
        <w:t>，經桃園地院院長告知調查結果，竟再次利用單獨在辦公室之機會，點入甲法官之LINE對話視窗，查找甲法官與乙男之對話內容，加以翻拍竊錄等</w:t>
      </w:r>
      <w:r w:rsidRPr="004C231C">
        <w:rPr>
          <w:rFonts w:ascii="標楷體" w:eastAsia="標楷體" w:hAnsi="標楷體" w:hint="eastAsia"/>
          <w:sz w:val="28"/>
          <w:szCs w:val="28"/>
        </w:rPr>
        <w:t>動機、目的，其手段</w:t>
      </w:r>
      <w:r>
        <w:rPr>
          <w:rFonts w:ascii="標楷體" w:eastAsia="標楷體" w:hAnsi="標楷體" w:hint="eastAsia"/>
          <w:sz w:val="28"/>
          <w:szCs w:val="28"/>
        </w:rPr>
        <w:t>已</w:t>
      </w:r>
      <w:r w:rsidRPr="004C231C">
        <w:rPr>
          <w:rFonts w:ascii="標楷體" w:eastAsia="標楷體" w:hAnsi="標楷體" w:hint="eastAsia"/>
          <w:sz w:val="28"/>
          <w:szCs w:val="28"/>
        </w:rPr>
        <w:t>違反刑罰法律，並經判處罪刑，不僅侵害甲法官之隱私權及人格權，更損害法官之職位尊嚴與職務信任，害及司法正直磊落之形象，兼衡桃園地院函覆之被付懲戒人任職該院期間之平時考評紀錄及歷</w:t>
      </w:r>
      <w:r>
        <w:rPr>
          <w:rFonts w:ascii="標楷體" w:eastAsia="標楷體" w:hAnsi="標楷體" w:hint="eastAsia"/>
          <w:sz w:val="28"/>
          <w:szCs w:val="28"/>
        </w:rPr>
        <w:t>年職務評定狀況</w:t>
      </w:r>
      <w:r w:rsidR="00B52021">
        <w:rPr>
          <w:rFonts w:ascii="標楷體" w:eastAsia="標楷體" w:hAnsi="標楷體" w:hint="eastAsia"/>
          <w:sz w:val="28"/>
          <w:szCs w:val="28"/>
        </w:rPr>
        <w:t>，</w:t>
      </w:r>
      <w:r>
        <w:rPr>
          <w:rFonts w:ascii="標楷體" w:eastAsia="標楷體" w:hAnsi="標楷體" w:hint="eastAsia"/>
          <w:sz w:val="28"/>
          <w:szCs w:val="28"/>
        </w:rPr>
        <w:t>顯示任職期間之工作表現尚屬良好，與被付懲戒人於</w:t>
      </w:r>
      <w:r w:rsidRPr="004C231C">
        <w:rPr>
          <w:rFonts w:ascii="標楷體" w:eastAsia="標楷體" w:hAnsi="標楷體" w:hint="eastAsia"/>
          <w:sz w:val="28"/>
          <w:szCs w:val="28"/>
        </w:rPr>
        <w:t>言詞辯論期日</w:t>
      </w:r>
      <w:r>
        <w:rPr>
          <w:rFonts w:ascii="標楷體" w:eastAsia="標楷體" w:hAnsi="標楷體" w:hint="eastAsia"/>
          <w:sz w:val="28"/>
          <w:szCs w:val="28"/>
        </w:rPr>
        <w:t>，猶稱本件違失僅屬私事、係甲法官堅持提告欲使其受懲戒以為報復云云，未見</w:t>
      </w:r>
      <w:r w:rsidRPr="004C231C">
        <w:rPr>
          <w:rFonts w:ascii="標楷體" w:eastAsia="標楷體" w:hAnsi="標楷體" w:hint="eastAsia"/>
          <w:sz w:val="28"/>
          <w:szCs w:val="28"/>
        </w:rPr>
        <w:t>自省</w:t>
      </w:r>
      <w:r>
        <w:rPr>
          <w:rFonts w:ascii="標楷體" w:eastAsia="標楷體" w:hAnsi="標楷體" w:hint="eastAsia"/>
          <w:sz w:val="28"/>
          <w:szCs w:val="28"/>
        </w:rPr>
        <w:t>之</w:t>
      </w:r>
      <w:r w:rsidRPr="004C231C">
        <w:rPr>
          <w:rFonts w:ascii="標楷體" w:eastAsia="標楷體" w:hAnsi="標楷體" w:hint="eastAsia"/>
          <w:sz w:val="28"/>
          <w:szCs w:val="28"/>
        </w:rPr>
        <w:t>行為後態度，</w:t>
      </w:r>
      <w:r>
        <w:rPr>
          <w:rFonts w:ascii="標楷體" w:eastAsia="標楷體" w:hAnsi="標楷體" w:hint="eastAsia"/>
          <w:sz w:val="28"/>
          <w:szCs w:val="28"/>
        </w:rPr>
        <w:t>因</w:t>
      </w:r>
      <w:r w:rsidRPr="004C231C">
        <w:rPr>
          <w:rFonts w:ascii="標楷體" w:eastAsia="標楷體" w:hAnsi="標楷體" w:hint="eastAsia"/>
          <w:sz w:val="28"/>
          <w:szCs w:val="28"/>
        </w:rPr>
        <w:t>認被付懲戒人之違失情節，已無法使社會大眾信任其仍具備依法審判、保障人權之品行及素養，而得以忠實履踐司法給付，衡酌被付懲戒人本件應受懲戒之具體情事與違反義務之程度，違失行為已損害法官之身分與職位尊嚴，動搖人民對於司法功能實現之信賴，</w:t>
      </w:r>
      <w:r>
        <w:rPr>
          <w:rFonts w:ascii="標楷體" w:eastAsia="標楷體" w:hAnsi="標楷體" w:hint="eastAsia"/>
          <w:sz w:val="28"/>
          <w:szCs w:val="28"/>
        </w:rPr>
        <w:t>與被付懲戒人任職期間之品行、行為後態度等情狀</w:t>
      </w:r>
      <w:r w:rsidRPr="004C231C">
        <w:rPr>
          <w:rFonts w:ascii="標楷體" w:eastAsia="標楷體" w:hAnsi="標楷體" w:hint="eastAsia"/>
          <w:sz w:val="28"/>
          <w:szCs w:val="28"/>
        </w:rPr>
        <w:t>，暨參酌法官評鑑委員會就本件違失行為之處分建議</w:t>
      </w:r>
      <w:r>
        <w:rPr>
          <w:rFonts w:ascii="標楷體" w:eastAsia="標楷體" w:hAnsi="標楷體" w:hint="eastAsia"/>
          <w:sz w:val="28"/>
          <w:szCs w:val="28"/>
        </w:rPr>
        <w:t>，</w:t>
      </w:r>
      <w:r w:rsidRPr="004C231C">
        <w:rPr>
          <w:rFonts w:ascii="標楷體" w:eastAsia="標楷體" w:hAnsi="標楷體" w:hint="eastAsia"/>
          <w:sz w:val="28"/>
          <w:szCs w:val="28"/>
        </w:rPr>
        <w:t>依修正前法官法第50條第1項第2款規定，處以被付懲戒人撤職，並停止任用貳年之懲戒處分</w:t>
      </w:r>
      <w:r>
        <w:rPr>
          <w:rFonts w:ascii="標楷體" w:eastAsia="標楷體" w:hAnsi="標楷體" w:hint="eastAsia"/>
          <w:sz w:val="28"/>
          <w:szCs w:val="28"/>
        </w:rPr>
        <w:t>。</w:t>
      </w:r>
    </w:p>
    <w:p w:rsidR="00FB09A3" w:rsidRDefault="00FB09A3" w:rsidP="00FB09A3">
      <w:pPr>
        <w:spacing w:line="480" w:lineRule="exact"/>
        <w:ind w:left="841" w:hangingChars="300" w:hanging="841"/>
        <w:jc w:val="both"/>
        <w:rPr>
          <w:rFonts w:ascii="標楷體" w:eastAsia="標楷體" w:hAnsi="標楷體"/>
          <w:b/>
          <w:sz w:val="28"/>
          <w:szCs w:val="28"/>
        </w:rPr>
      </w:pPr>
      <w:r>
        <w:rPr>
          <w:rFonts w:ascii="標楷體" w:eastAsia="標楷體" w:hAnsi="標楷體" w:hint="eastAsia"/>
          <w:b/>
          <w:sz w:val="28"/>
          <w:szCs w:val="28"/>
        </w:rPr>
        <w:t>伍</w:t>
      </w:r>
      <w:r w:rsidRPr="001D41D7">
        <w:rPr>
          <w:rFonts w:ascii="標楷體" w:eastAsia="標楷體" w:hAnsi="標楷體" w:hint="eastAsia"/>
          <w:b/>
          <w:sz w:val="28"/>
          <w:szCs w:val="28"/>
        </w:rPr>
        <w:t>、合議庭</w:t>
      </w:r>
      <w:r>
        <w:rPr>
          <w:rFonts w:ascii="標楷體" w:eastAsia="標楷體" w:hAnsi="標楷體" w:hint="eastAsia"/>
          <w:b/>
          <w:sz w:val="28"/>
          <w:szCs w:val="28"/>
        </w:rPr>
        <w:t>成員</w:t>
      </w:r>
      <w:r w:rsidRPr="001D41D7">
        <w:rPr>
          <w:rFonts w:ascii="標楷體" w:eastAsia="標楷體" w:hAnsi="標楷體" w:hint="eastAsia"/>
          <w:b/>
          <w:sz w:val="28"/>
          <w:szCs w:val="28"/>
        </w:rPr>
        <w:t>：</w:t>
      </w:r>
    </w:p>
    <w:p w:rsidR="00FB09A3" w:rsidRDefault="00FB09A3" w:rsidP="00FB09A3">
      <w:pPr>
        <w:spacing w:line="480" w:lineRule="exact"/>
        <w:ind w:left="560" w:hangingChars="200" w:hanging="560"/>
        <w:jc w:val="both"/>
        <w:rPr>
          <w:rFonts w:eastAsia="標楷體"/>
          <w:sz w:val="28"/>
          <w:szCs w:val="28"/>
        </w:rPr>
      </w:pPr>
      <w:r w:rsidRPr="00690C06">
        <w:rPr>
          <w:rFonts w:ascii="標楷體" w:eastAsia="標楷體" w:hAnsi="標楷體" w:hint="eastAsia"/>
          <w:sz w:val="28"/>
          <w:szCs w:val="28"/>
        </w:rPr>
        <w:t xml:space="preserve">    </w:t>
      </w:r>
      <w:r w:rsidRPr="004572F6">
        <w:rPr>
          <w:rFonts w:eastAsia="標楷體"/>
          <w:sz w:val="28"/>
          <w:szCs w:val="28"/>
        </w:rPr>
        <w:t>職務法庭</w:t>
      </w:r>
      <w:r>
        <w:rPr>
          <w:rFonts w:eastAsia="標楷體" w:hint="eastAsia"/>
          <w:sz w:val="28"/>
          <w:szCs w:val="28"/>
        </w:rPr>
        <w:t>第一審</w:t>
      </w:r>
      <w:r w:rsidRPr="004572F6">
        <w:rPr>
          <w:rFonts w:eastAsia="標楷體"/>
          <w:sz w:val="28"/>
          <w:szCs w:val="28"/>
        </w:rPr>
        <w:t>第</w:t>
      </w:r>
      <w:r>
        <w:rPr>
          <w:rFonts w:eastAsia="標楷體" w:hint="eastAsia"/>
          <w:sz w:val="28"/>
          <w:szCs w:val="28"/>
        </w:rPr>
        <w:t>三</w:t>
      </w:r>
      <w:r w:rsidRPr="004572F6">
        <w:rPr>
          <w:rFonts w:eastAsia="標楷體"/>
          <w:sz w:val="28"/>
          <w:szCs w:val="28"/>
        </w:rPr>
        <w:t>庭：審判長法官</w:t>
      </w:r>
      <w:r>
        <w:rPr>
          <w:rFonts w:eastAsia="標楷體" w:hint="eastAsia"/>
          <w:sz w:val="28"/>
          <w:szCs w:val="28"/>
        </w:rPr>
        <w:t>蘇振堂（懲戒法院法官）</w:t>
      </w:r>
      <w:r w:rsidRPr="004572F6">
        <w:rPr>
          <w:rFonts w:eastAsia="標楷體"/>
          <w:sz w:val="28"/>
          <w:szCs w:val="28"/>
        </w:rPr>
        <w:t>、陪席法官</w:t>
      </w:r>
      <w:r>
        <w:rPr>
          <w:rFonts w:eastAsia="標楷體" w:hint="eastAsia"/>
          <w:sz w:val="28"/>
          <w:szCs w:val="28"/>
        </w:rPr>
        <w:t>蔡惠如（智慧財產及商業法院庭長）</w:t>
      </w:r>
      <w:r w:rsidRPr="004572F6">
        <w:rPr>
          <w:rFonts w:eastAsia="標楷體"/>
          <w:sz w:val="28"/>
          <w:szCs w:val="28"/>
        </w:rPr>
        <w:t>、受命法官</w:t>
      </w:r>
      <w:r>
        <w:rPr>
          <w:rFonts w:eastAsia="標楷體" w:hint="eastAsia"/>
          <w:sz w:val="28"/>
          <w:szCs w:val="28"/>
        </w:rPr>
        <w:t>汪怡君（臺灣高等法院法官）</w:t>
      </w:r>
      <w:r w:rsidRPr="004572F6">
        <w:rPr>
          <w:rFonts w:eastAsia="標楷體"/>
          <w:sz w:val="28"/>
          <w:szCs w:val="28"/>
        </w:rPr>
        <w:t>、</w:t>
      </w:r>
      <w:r w:rsidRPr="00B520B8">
        <w:rPr>
          <w:rFonts w:eastAsia="標楷體"/>
          <w:sz w:val="28"/>
          <w:szCs w:val="28"/>
        </w:rPr>
        <w:t>參審員</w:t>
      </w:r>
      <w:r>
        <w:rPr>
          <w:rFonts w:eastAsia="標楷體" w:hint="eastAsia"/>
          <w:sz w:val="28"/>
          <w:szCs w:val="28"/>
        </w:rPr>
        <w:t>李英惠</w:t>
      </w:r>
      <w:r>
        <w:rPr>
          <w:rFonts w:eastAsia="標楷體"/>
          <w:sz w:val="28"/>
          <w:szCs w:val="28"/>
        </w:rPr>
        <w:t>（</w:t>
      </w:r>
      <w:r>
        <w:rPr>
          <w:rFonts w:eastAsia="標楷體" w:hint="eastAsia"/>
          <w:sz w:val="28"/>
          <w:szCs w:val="28"/>
        </w:rPr>
        <w:t>中央研究院分子生物研究所副研究員</w:t>
      </w:r>
      <w:r>
        <w:rPr>
          <w:rFonts w:eastAsia="標楷體"/>
          <w:sz w:val="28"/>
          <w:szCs w:val="28"/>
        </w:rPr>
        <w:t>）、參審員</w:t>
      </w:r>
      <w:r>
        <w:rPr>
          <w:rFonts w:eastAsia="標楷體" w:hint="eastAsia"/>
          <w:sz w:val="28"/>
          <w:szCs w:val="28"/>
        </w:rPr>
        <w:t>程明修</w:t>
      </w:r>
      <w:r w:rsidRPr="00B520B8">
        <w:rPr>
          <w:rFonts w:eastAsia="標楷體"/>
          <w:sz w:val="28"/>
          <w:szCs w:val="28"/>
        </w:rPr>
        <w:t>（</w:t>
      </w:r>
      <w:r>
        <w:rPr>
          <w:rFonts w:eastAsia="標楷體" w:hint="eastAsia"/>
          <w:sz w:val="28"/>
          <w:szCs w:val="28"/>
        </w:rPr>
        <w:t>東吳大學法律系教授</w:t>
      </w:r>
      <w:r w:rsidRPr="00B520B8">
        <w:rPr>
          <w:rFonts w:eastAsia="標楷體"/>
          <w:sz w:val="28"/>
          <w:szCs w:val="28"/>
        </w:rPr>
        <w:t>）。</w:t>
      </w:r>
    </w:p>
    <w:p w:rsidR="00121A79" w:rsidRPr="00FB09A3" w:rsidRDefault="00121A79">
      <w:pPr>
        <w:spacing w:line="360" w:lineRule="auto"/>
        <w:rPr>
          <w:rFonts w:ascii="標楷體" w:eastAsia="標楷體" w:hAnsi="標楷體"/>
          <w:b/>
          <w:sz w:val="32"/>
          <w:szCs w:val="32"/>
        </w:rPr>
      </w:pPr>
    </w:p>
    <w:p w:rsidR="00121A79" w:rsidRPr="00B07B92" w:rsidRDefault="00121A79">
      <w:pPr>
        <w:pageBreakBefore/>
        <w:widowControl/>
        <w:suppressAutoHyphens w:val="0"/>
        <w:rPr>
          <w:rFonts w:ascii="標楷體" w:eastAsia="標楷體" w:hAnsi="標楷體" w:hint="eastAsia"/>
          <w:b/>
          <w:sz w:val="32"/>
          <w:szCs w:val="32"/>
        </w:rPr>
      </w:pPr>
      <w:bookmarkStart w:id="0" w:name="_GoBack"/>
      <w:bookmarkEnd w:id="0"/>
    </w:p>
    <w:p w:rsidR="00121A79" w:rsidRDefault="001B7269">
      <w:pPr>
        <w:spacing w:line="360" w:lineRule="auto"/>
        <w:rPr>
          <w:rFonts w:ascii="標楷體" w:eastAsia="標楷體" w:hAnsi="標楷體"/>
          <w:b/>
          <w:sz w:val="32"/>
          <w:szCs w:val="32"/>
        </w:rPr>
      </w:pPr>
      <w:r>
        <w:rPr>
          <w:rFonts w:ascii="標楷體" w:eastAsia="標楷體" w:hAnsi="標楷體"/>
          <w:b/>
          <w:sz w:val="32"/>
          <w:szCs w:val="32"/>
        </w:rPr>
        <w:t>附錄本案相關法條</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b/>
          <w:kern w:val="0"/>
        </w:rPr>
      </w:pPr>
      <w:r w:rsidRPr="00A74D1A">
        <w:rPr>
          <w:rFonts w:ascii="標楷體" w:eastAsia="標楷體" w:hAnsi="標楷體" w:cs="細明體" w:hint="eastAsia"/>
          <w:b/>
          <w:kern w:val="0"/>
        </w:rPr>
        <w:t>法官法 第</w:t>
      </w:r>
      <w:r w:rsidRPr="00A74D1A">
        <w:rPr>
          <w:rFonts w:ascii="標楷體" w:eastAsia="標楷體" w:hAnsi="標楷體" w:cs="細明體"/>
          <w:b/>
          <w:kern w:val="0"/>
        </w:rPr>
        <w:t>18</w:t>
      </w:r>
      <w:r w:rsidRPr="00A74D1A">
        <w:rPr>
          <w:rFonts w:ascii="標楷體" w:eastAsia="標楷體" w:hAnsi="標楷體" w:cs="細明體" w:hint="eastAsia"/>
          <w:b/>
          <w:kern w:val="0"/>
        </w:rPr>
        <w:t>條</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hint="eastAsia"/>
          <w:kern w:val="0"/>
        </w:rPr>
        <w:t>法官不得為有損其職位尊嚴或職務信任之行為，並應嚴守職務上之秘密。</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hint="eastAsia"/>
          <w:kern w:val="0"/>
        </w:rPr>
        <w:t>前項守密之義務，於離職後仍應遵守。</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b/>
          <w:kern w:val="0"/>
        </w:rPr>
      </w:pPr>
      <w:r w:rsidRPr="00A74D1A">
        <w:rPr>
          <w:rFonts w:ascii="標楷體" w:eastAsia="標楷體" w:hAnsi="標楷體" w:cs="細明體" w:hint="eastAsia"/>
          <w:b/>
          <w:kern w:val="0"/>
        </w:rPr>
        <w:t>法官法 第49條第1項</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hint="eastAsia"/>
          <w:kern w:val="0"/>
        </w:rPr>
        <w:t>法官有第三十條第二項各款所列情事之一，有懲戒之必要者，應受懲戒。</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b/>
          <w:kern w:val="0"/>
        </w:rPr>
      </w:pP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pPr>
      <w:r w:rsidRPr="00A74D1A">
        <w:rPr>
          <w:rFonts w:ascii="標楷體" w:eastAsia="標楷體" w:hAnsi="標楷體" w:cs="細明體"/>
          <w:b/>
          <w:kern w:val="0"/>
        </w:rPr>
        <w:t>修正前法官法 第50條</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法官之懲戒如下：</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一、免除法官職務，並喪失公務人員任用資格。</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4" w:hanging="504"/>
        <w:rPr>
          <w:rFonts w:ascii="標楷體" w:eastAsia="標楷體" w:hAnsi="標楷體" w:cs="細明體"/>
          <w:b/>
          <w:kern w:val="0"/>
        </w:rPr>
      </w:pPr>
      <w:r w:rsidRPr="00A74D1A">
        <w:rPr>
          <w:rFonts w:ascii="標楷體" w:eastAsia="標楷體" w:hAnsi="標楷體" w:cs="細明體"/>
          <w:b/>
          <w:kern w:val="0"/>
        </w:rPr>
        <w:t>二、撤職：除撤其現職外，並於一定期間停止任用，其期間為一年以上五年以下。</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pPr>
      <w:r w:rsidRPr="00A74D1A">
        <w:rPr>
          <w:rFonts w:ascii="標楷體" w:eastAsia="標楷體" w:hAnsi="標楷體" w:cs="細明體"/>
          <w:b/>
          <w:kern w:val="0"/>
        </w:rPr>
        <w:t>三</w:t>
      </w:r>
      <w:r w:rsidRPr="00A74D1A">
        <w:rPr>
          <w:rFonts w:ascii="標楷體" w:eastAsia="標楷體" w:hAnsi="標楷體" w:cs="細明體"/>
          <w:kern w:val="0"/>
        </w:rPr>
        <w:t>、免除法官職務，轉任法官以外之其他職務。</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6" w:hanging="566"/>
        <w:rPr>
          <w:rFonts w:ascii="標楷體" w:eastAsia="標楷體" w:hAnsi="標楷體" w:cs="細明體"/>
          <w:kern w:val="0"/>
        </w:rPr>
      </w:pPr>
      <w:r w:rsidRPr="00A74D1A">
        <w:rPr>
          <w:rFonts w:ascii="標楷體" w:eastAsia="標楷體" w:hAnsi="標楷體" w:cs="細明體"/>
          <w:kern w:val="0"/>
        </w:rPr>
        <w:t>四、罰款：其數額為現職月俸給總額或任職時最後月俸給總額一個月以上一年以下。</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五、申誡。</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依應受懲戒之具體情事足認已不適任法官者，應予撤職以上之處分。</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受第一項第一款、第二款之懲戒處分者，不得充任律師，其已充任律師者，停止其執行職務；其中受第一項第二款、第三款之懲戒處分者，並不得回任法官職務。</w:t>
      </w:r>
    </w:p>
    <w:p w:rsidR="00121A79" w:rsidRPr="00A74D1A" w:rsidRDefault="001B726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kern w:val="0"/>
        </w:rPr>
        <w:t>申誡，以書面為之。</w:t>
      </w:r>
    </w:p>
    <w:p w:rsidR="00121A79" w:rsidRPr="00A74D1A" w:rsidRDefault="00121A7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b/>
          <w:kern w:val="0"/>
        </w:rPr>
      </w:pPr>
      <w:r w:rsidRPr="00A74D1A">
        <w:rPr>
          <w:rFonts w:ascii="標楷體" w:eastAsia="標楷體" w:hAnsi="標楷體" w:cs="細明體" w:hint="eastAsia"/>
          <w:b/>
          <w:kern w:val="0"/>
        </w:rPr>
        <w:t>法官倫理規範</w:t>
      </w:r>
      <w:r>
        <w:rPr>
          <w:rFonts w:ascii="標楷體" w:eastAsia="標楷體" w:hAnsi="標楷體" w:cs="細明體" w:hint="eastAsia"/>
          <w:b/>
          <w:kern w:val="0"/>
        </w:rPr>
        <w:t xml:space="preserve"> </w:t>
      </w:r>
      <w:r w:rsidRPr="00A74D1A">
        <w:rPr>
          <w:rFonts w:ascii="標楷體" w:eastAsia="標楷體" w:hAnsi="標楷體" w:cs="細明體" w:hint="eastAsia"/>
          <w:b/>
          <w:kern w:val="0"/>
        </w:rPr>
        <w:t>第5條</w:t>
      </w:r>
    </w:p>
    <w:p w:rsidR="00A74D1A" w:rsidRPr="00A74D1A"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A74D1A">
        <w:rPr>
          <w:rFonts w:ascii="標楷體" w:eastAsia="標楷體" w:hAnsi="標楷體" w:cs="細明體" w:hint="eastAsia"/>
          <w:kern w:val="0"/>
        </w:rPr>
        <w:t>法官應保有高尚品格，謹言慎行，廉潔自持，避免有不當或易被認為損及司法形象之行為。</w:t>
      </w:r>
    </w:p>
    <w:p w:rsidR="00A74D1A" w:rsidRPr="00111987" w:rsidRDefault="00A74D1A"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細明體"/>
          <w:kern w:val="0"/>
          <w:sz w:val="22"/>
          <w:szCs w:val="22"/>
        </w:rPr>
      </w:pPr>
    </w:p>
    <w:p w:rsidR="00121A79" w:rsidRPr="00A74D1A" w:rsidRDefault="00121A79" w:rsidP="00A74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Arial"/>
          <w:color w:val="000000"/>
          <w:kern w:val="0"/>
          <w:sz w:val="28"/>
          <w:szCs w:val="28"/>
        </w:rPr>
      </w:pPr>
    </w:p>
    <w:sectPr w:rsidR="00121A79" w:rsidRPr="00A74D1A">
      <w:footerReference w:type="default" r:id="rId8"/>
      <w:pgSz w:w="11906" w:h="16838"/>
      <w:pgMar w:top="1418" w:right="1418" w:bottom="1134" w:left="1418" w:header="851" w:footer="992" w:gutter="0"/>
      <w:cols w:space="720"/>
      <w:docGrid w:type="lines" w:linePitch="6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B5" w:rsidRDefault="00023BB5">
      <w:r>
        <w:separator/>
      </w:r>
    </w:p>
  </w:endnote>
  <w:endnote w:type="continuationSeparator" w:id="0">
    <w:p w:rsidR="00023BB5" w:rsidRDefault="0002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39" w:rsidRDefault="001B726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77539" w:rsidRDefault="001B7269">
                          <w:pPr>
                            <w:pStyle w:val="a4"/>
                          </w:pPr>
                          <w:r>
                            <w:rPr>
                              <w:rStyle w:val="a5"/>
                            </w:rPr>
                            <w:fldChar w:fldCharType="begin"/>
                          </w:r>
                          <w:r>
                            <w:rPr>
                              <w:rStyle w:val="a5"/>
                            </w:rPr>
                            <w:instrText xml:space="preserve"> PAGE </w:instrText>
                          </w:r>
                          <w:r>
                            <w:rPr>
                              <w:rStyle w:val="a5"/>
                            </w:rPr>
                            <w:fldChar w:fldCharType="separate"/>
                          </w:r>
                          <w:r w:rsidR="00023BB5">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77539" w:rsidRDefault="001B7269">
                    <w:pPr>
                      <w:pStyle w:val="a4"/>
                    </w:pPr>
                    <w:r>
                      <w:rPr>
                        <w:rStyle w:val="a5"/>
                      </w:rPr>
                      <w:fldChar w:fldCharType="begin"/>
                    </w:r>
                    <w:r>
                      <w:rPr>
                        <w:rStyle w:val="a5"/>
                      </w:rPr>
                      <w:instrText xml:space="preserve"> PAGE </w:instrText>
                    </w:r>
                    <w:r>
                      <w:rPr>
                        <w:rStyle w:val="a5"/>
                      </w:rPr>
                      <w:fldChar w:fldCharType="separate"/>
                    </w:r>
                    <w:r w:rsidR="00023BB5">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B5" w:rsidRDefault="00023BB5">
      <w:r>
        <w:rPr>
          <w:color w:val="000000"/>
        </w:rPr>
        <w:separator/>
      </w:r>
    </w:p>
  </w:footnote>
  <w:footnote w:type="continuationSeparator" w:id="0">
    <w:p w:rsidR="00023BB5" w:rsidRDefault="00023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05D"/>
    <w:multiLevelType w:val="multilevel"/>
    <w:tmpl w:val="82103C20"/>
    <w:styleLink w:val="WWOutlineListStyle2"/>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1" w15:restartNumberingAfterBreak="0">
    <w:nsid w:val="1657379C"/>
    <w:multiLevelType w:val="multilevel"/>
    <w:tmpl w:val="277AE834"/>
    <w:styleLink w:val="WWOutlineListStyle4"/>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2" w15:restartNumberingAfterBreak="0">
    <w:nsid w:val="20EC4057"/>
    <w:multiLevelType w:val="multilevel"/>
    <w:tmpl w:val="213E8D72"/>
    <w:styleLink w:val="WWOutlineListStyle8"/>
    <w:lvl w:ilvl="0">
      <w:start w:val="1"/>
      <w:numFmt w:val="ideographLegalTraditional"/>
      <w:pStyle w:val="1"/>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pStyle w:val="2"/>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pStyle w:val="3"/>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pStyle w:val="4"/>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pStyle w:val="5"/>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pStyle w:val="6"/>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pStyle w:val="7"/>
      <w:lvlText w:val="%7."/>
      <w:lvlJc w:val="left"/>
      <w:pPr>
        <w:ind w:left="2445" w:hanging="353"/>
      </w:pPr>
      <w:rPr>
        <w:b w:val="0"/>
        <w:i w:val="0"/>
        <w:spacing w:val="0"/>
        <w:w w:val="100"/>
        <w:position w:val="0"/>
        <w:sz w:val="32"/>
        <w:vertAlign w:val="baseline"/>
      </w:rPr>
    </w:lvl>
    <w:lvl w:ilvl="7">
      <w:start w:val="1"/>
      <w:numFmt w:val="decimal"/>
      <w:pStyle w:val="8"/>
      <w:lvlText w:val="%8."/>
      <w:lvlJc w:val="left"/>
      <w:pPr>
        <w:ind w:left="2787" w:hanging="349"/>
      </w:pPr>
      <w:rPr>
        <w:b w:val="0"/>
        <w:i w:val="0"/>
        <w:spacing w:val="0"/>
        <w:w w:val="100"/>
        <w:position w:val="0"/>
        <w:sz w:val="32"/>
        <w:vertAlign w:val="baseline"/>
      </w:rPr>
    </w:lvl>
    <w:lvl w:ilvl="8">
      <w:start w:val="1"/>
      <w:numFmt w:val="none"/>
      <w:lvlText w:val=""/>
      <w:lvlJc w:val="left"/>
    </w:lvl>
  </w:abstractNum>
  <w:abstractNum w:abstractNumId="3" w15:restartNumberingAfterBreak="0">
    <w:nsid w:val="27AE0079"/>
    <w:multiLevelType w:val="multilevel"/>
    <w:tmpl w:val="AD262460"/>
    <w:styleLink w:val="WWOutlineListStyle6"/>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4" w15:restartNumberingAfterBreak="0">
    <w:nsid w:val="5DB23ABF"/>
    <w:multiLevelType w:val="multilevel"/>
    <w:tmpl w:val="02B06E90"/>
    <w:styleLink w:val="WWOutlineListStyle"/>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5" w15:restartNumberingAfterBreak="0">
    <w:nsid w:val="5F894C4D"/>
    <w:multiLevelType w:val="multilevel"/>
    <w:tmpl w:val="B02E5AFE"/>
    <w:styleLink w:val="WWOutlineListStyle5"/>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6" w15:restartNumberingAfterBreak="0">
    <w:nsid w:val="611F1D4B"/>
    <w:multiLevelType w:val="multilevel"/>
    <w:tmpl w:val="E5E072DE"/>
    <w:styleLink w:val="WWOutlineListStyle7"/>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7" w15:restartNumberingAfterBreak="0">
    <w:nsid w:val="6CB1211A"/>
    <w:multiLevelType w:val="multilevel"/>
    <w:tmpl w:val="3BCEA9B4"/>
    <w:styleLink w:val="WWOutlineListStyle3"/>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8" w15:restartNumberingAfterBreak="0">
    <w:nsid w:val="710064D8"/>
    <w:multiLevelType w:val="multilevel"/>
    <w:tmpl w:val="1B248C02"/>
    <w:styleLink w:val="WWOutlineListStyle1"/>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taiwaneseCountingThousand"/>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taiwaneseCountingThousand"/>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FullWidth"/>
      <w:lvlText w:val="%4、"/>
      <w:lvlJc w:val="left"/>
      <w:pPr>
        <w:ind w:left="1745" w:hanging="698"/>
      </w:pPr>
      <w:rPr>
        <w:rFonts w:ascii="標楷體" w:eastAsia="標楷體" w:hAnsi="標楷體"/>
        <w:b w:val="0"/>
        <w:i w:val="0"/>
        <w:spacing w:val="0"/>
        <w:w w:val="100"/>
        <w:position w:val="0"/>
        <w:sz w:val="32"/>
        <w:vertAlign w:val="baseline"/>
      </w:rPr>
    </w:lvl>
    <w:lvl w:ilvl="4">
      <w:start w:val="1"/>
      <w:numFmt w:val="decimalFullWidth"/>
      <w:lvlText w:val="(%5)"/>
      <w:lvlJc w:val="left"/>
      <w:pPr>
        <w:ind w:left="2094"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1" w:hanging="697"/>
      </w:pPr>
      <w:rPr>
        <w:rFonts w:ascii="標楷體" w:eastAsia="標楷體" w:hAnsi="標楷體"/>
        <w:b w:val="0"/>
        <w:i w:val="0"/>
        <w:spacing w:val="0"/>
        <w:w w:val="100"/>
        <w:position w:val="0"/>
        <w:sz w:val="32"/>
        <w:vertAlign w:val="baseline"/>
      </w:rPr>
    </w:lvl>
    <w:lvl w:ilvl="6">
      <w:start w:val="1"/>
      <w:numFmt w:val="decimal"/>
      <w:lvlText w:val="%7."/>
      <w:lvlJc w:val="left"/>
      <w:pPr>
        <w:ind w:left="2445" w:hanging="353"/>
      </w:pPr>
      <w:rPr>
        <w:b w:val="0"/>
        <w:i w:val="0"/>
        <w:spacing w:val="0"/>
        <w:w w:val="100"/>
        <w:position w:val="0"/>
        <w:sz w:val="32"/>
        <w:vertAlign w:val="baseline"/>
      </w:rPr>
    </w:lvl>
    <w:lvl w:ilvl="7">
      <w:start w:val="1"/>
      <w:numFmt w:val="decimal"/>
      <w:lvlText w:val="%8."/>
      <w:lvlJc w:val="left"/>
      <w:pPr>
        <w:ind w:left="2787" w:hanging="349"/>
      </w:pPr>
      <w:rPr>
        <w:b w:val="0"/>
        <w:i w:val="0"/>
        <w:spacing w:val="0"/>
        <w:w w:val="100"/>
        <w:position w:val="0"/>
        <w:sz w:val="32"/>
        <w:vertAlign w:val="baseline"/>
      </w:rPr>
    </w:lvl>
    <w:lvl w:ilvl="8">
      <w:start w:val="1"/>
      <w:numFmt w:val="none"/>
      <w:lvlText w:val="%9"/>
      <w:lvlJc w:val="left"/>
    </w:lvl>
  </w:abstractNum>
  <w:abstractNum w:abstractNumId="9" w15:restartNumberingAfterBreak="0">
    <w:nsid w:val="79270CD9"/>
    <w:multiLevelType w:val="hybridMultilevel"/>
    <w:tmpl w:val="A6885696"/>
    <w:lvl w:ilvl="0" w:tplc="4932711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9"/>
    <w:rsid w:val="00023BB5"/>
    <w:rsid w:val="00121A79"/>
    <w:rsid w:val="001B7269"/>
    <w:rsid w:val="00272725"/>
    <w:rsid w:val="00A534C3"/>
    <w:rsid w:val="00A74D1A"/>
    <w:rsid w:val="00B07B92"/>
    <w:rsid w:val="00B52021"/>
    <w:rsid w:val="00C26B36"/>
    <w:rsid w:val="00CE33A5"/>
    <w:rsid w:val="00CE75C9"/>
    <w:rsid w:val="00F456ED"/>
    <w:rsid w:val="00F978EC"/>
    <w:rsid w:val="00FB09A3"/>
    <w:rsid w:val="00FF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0022"/>
  <w15:docId w15:val="{9EDC3B26-EFD3-48BB-884D-8B92E1F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numPr>
        <w:numId w:val="1"/>
      </w:numPr>
      <w:jc w:val="both"/>
      <w:outlineLvl w:val="0"/>
    </w:pPr>
    <w:rPr>
      <w:rFonts w:ascii="標楷體" w:eastAsia="標楷體" w:hAnsi="標楷體"/>
      <w:bCs/>
      <w:kern w:val="0"/>
      <w:sz w:val="32"/>
      <w:szCs w:val="52"/>
    </w:rPr>
  </w:style>
  <w:style w:type="paragraph" w:styleId="2">
    <w:name w:val="heading 2"/>
    <w:basedOn w:val="a"/>
    <w:pPr>
      <w:numPr>
        <w:ilvl w:val="1"/>
        <w:numId w:val="1"/>
      </w:numPr>
      <w:jc w:val="both"/>
      <w:outlineLvl w:val="1"/>
    </w:pPr>
    <w:rPr>
      <w:rFonts w:ascii="標楷體" w:eastAsia="標楷體" w:hAnsi="標楷體"/>
      <w:bCs/>
      <w:kern w:val="0"/>
      <w:sz w:val="32"/>
      <w:szCs w:val="48"/>
    </w:rPr>
  </w:style>
  <w:style w:type="paragraph" w:styleId="3">
    <w:name w:val="heading 3"/>
    <w:basedOn w:val="a"/>
    <w:pPr>
      <w:numPr>
        <w:ilvl w:val="2"/>
        <w:numId w:val="1"/>
      </w:numPr>
      <w:jc w:val="both"/>
      <w:outlineLvl w:val="2"/>
    </w:pPr>
    <w:rPr>
      <w:rFonts w:ascii="標楷體" w:eastAsia="標楷體" w:hAnsi="標楷體"/>
      <w:bCs/>
      <w:kern w:val="0"/>
      <w:sz w:val="32"/>
      <w:szCs w:val="36"/>
    </w:rPr>
  </w:style>
  <w:style w:type="paragraph" w:styleId="4">
    <w:name w:val="heading 4"/>
    <w:basedOn w:val="a"/>
    <w:pPr>
      <w:numPr>
        <w:ilvl w:val="3"/>
        <w:numId w:val="1"/>
      </w:numPr>
      <w:jc w:val="both"/>
      <w:outlineLvl w:val="3"/>
    </w:pPr>
    <w:rPr>
      <w:rFonts w:ascii="標楷體" w:eastAsia="標楷體" w:hAnsi="標楷體"/>
      <w:sz w:val="32"/>
      <w:szCs w:val="36"/>
    </w:rPr>
  </w:style>
  <w:style w:type="paragraph" w:styleId="5">
    <w:name w:val="heading 5"/>
    <w:basedOn w:val="a"/>
    <w:pPr>
      <w:numPr>
        <w:ilvl w:val="4"/>
        <w:numId w:val="1"/>
      </w:numPr>
      <w:jc w:val="both"/>
      <w:outlineLvl w:val="4"/>
    </w:pPr>
    <w:rPr>
      <w:rFonts w:ascii="標楷體" w:eastAsia="標楷體" w:hAnsi="標楷體"/>
      <w:bCs/>
      <w:sz w:val="32"/>
      <w:szCs w:val="36"/>
    </w:rPr>
  </w:style>
  <w:style w:type="paragraph" w:styleId="6">
    <w:name w:val="heading 6"/>
    <w:basedOn w:val="a"/>
    <w:pPr>
      <w:numPr>
        <w:ilvl w:val="5"/>
        <w:numId w:val="1"/>
      </w:numPr>
      <w:tabs>
        <w:tab w:val="left" w:pos="-19875"/>
      </w:tabs>
      <w:jc w:val="both"/>
      <w:outlineLvl w:val="5"/>
    </w:pPr>
    <w:rPr>
      <w:rFonts w:ascii="標楷體" w:eastAsia="標楷體" w:hAnsi="標楷體"/>
      <w:sz w:val="32"/>
      <w:szCs w:val="36"/>
    </w:rPr>
  </w:style>
  <w:style w:type="paragraph" w:styleId="7">
    <w:name w:val="heading 7"/>
    <w:basedOn w:val="a"/>
    <w:pPr>
      <w:numPr>
        <w:ilvl w:val="6"/>
        <w:numId w:val="1"/>
      </w:numPr>
      <w:jc w:val="both"/>
      <w:outlineLvl w:val="6"/>
    </w:pPr>
    <w:rPr>
      <w:rFonts w:ascii="標楷體" w:eastAsia="標楷體" w:hAnsi="標楷體"/>
      <w:bCs/>
      <w:sz w:val="32"/>
      <w:szCs w:val="36"/>
    </w:rPr>
  </w:style>
  <w:style w:type="paragraph" w:styleId="8">
    <w:name w:val="heading 8"/>
    <w:basedOn w:val="a"/>
    <w:pPr>
      <w:numPr>
        <w:ilvl w:val="7"/>
        <w:numId w:val="1"/>
      </w:numPr>
      <w:jc w:val="both"/>
      <w:outlineLvl w:val="7"/>
    </w:pPr>
    <w:rPr>
      <w:rFonts w:ascii="標楷體" w:eastAsia="標楷體" w:hAnsi="標楷體"/>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8">
    <w:name w:val="WW_OutlineListStyle_8"/>
    <w:basedOn w:val="a2"/>
    <w:pPr>
      <w:numPr>
        <w:numId w:val="1"/>
      </w:numPr>
    </w:pPr>
  </w:style>
  <w:style w:type="paragraph" w:styleId="a3">
    <w:name w:val="List Paragraph"/>
    <w:basedOn w:val="a"/>
    <w:uiPriority w:val="34"/>
    <w:qFormat/>
    <w:rsid w:val="00FB09A3"/>
    <w:pPr>
      <w:ind w:leftChars="200"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20">
    <w:name w:val="字元 字元2 字元"/>
    <w:basedOn w:val="a"/>
    <w:pPr>
      <w:widowControl/>
      <w:spacing w:after="160" w:line="240" w:lineRule="exact"/>
    </w:pPr>
    <w:rPr>
      <w:rFonts w:ascii="Verdana" w:hAnsi="Verdana"/>
      <w:kern w:val="0"/>
      <w:sz w:val="20"/>
      <w:szCs w:val="20"/>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character" w:customStyle="1" w:styleId="10">
    <w:name w:val="標題 1 字元"/>
    <w:rPr>
      <w:rFonts w:ascii="標楷體" w:eastAsia="標楷體" w:hAnsi="標楷體"/>
      <w:bCs/>
      <w:sz w:val="32"/>
      <w:szCs w:val="52"/>
    </w:rPr>
  </w:style>
  <w:style w:type="character" w:customStyle="1" w:styleId="21">
    <w:name w:val="標題 2 字元"/>
    <w:rPr>
      <w:rFonts w:ascii="標楷體" w:eastAsia="標楷體" w:hAnsi="標楷體"/>
      <w:bCs/>
      <w:sz w:val="32"/>
      <w:szCs w:val="48"/>
    </w:rPr>
  </w:style>
  <w:style w:type="character" w:customStyle="1" w:styleId="30">
    <w:name w:val="標題 3 字元"/>
    <w:rPr>
      <w:rFonts w:ascii="標楷體" w:eastAsia="標楷體" w:hAnsi="標楷體"/>
      <w:bCs/>
      <w:sz w:val="32"/>
      <w:szCs w:val="36"/>
    </w:rPr>
  </w:style>
  <w:style w:type="character" w:customStyle="1" w:styleId="40">
    <w:name w:val="標題 4 字元"/>
    <w:rPr>
      <w:rFonts w:ascii="標楷體" w:eastAsia="標楷體" w:hAnsi="標楷體"/>
      <w:kern w:val="3"/>
      <w:sz w:val="32"/>
      <w:szCs w:val="36"/>
    </w:rPr>
  </w:style>
  <w:style w:type="character" w:customStyle="1" w:styleId="50">
    <w:name w:val="標題 5 字元"/>
    <w:rPr>
      <w:rFonts w:ascii="標楷體" w:eastAsia="標楷體" w:hAnsi="標楷體"/>
      <w:bCs/>
      <w:kern w:val="3"/>
      <w:sz w:val="32"/>
      <w:szCs w:val="36"/>
    </w:rPr>
  </w:style>
  <w:style w:type="character" w:customStyle="1" w:styleId="60">
    <w:name w:val="標題 6 字元"/>
    <w:rPr>
      <w:rFonts w:ascii="標楷體" w:eastAsia="標楷體" w:hAnsi="標楷體"/>
      <w:kern w:val="3"/>
      <w:sz w:val="32"/>
      <w:szCs w:val="36"/>
    </w:rPr>
  </w:style>
  <w:style w:type="character" w:customStyle="1" w:styleId="70">
    <w:name w:val="標題 7 字元"/>
    <w:rPr>
      <w:rFonts w:ascii="標楷體" w:eastAsia="標楷體" w:hAnsi="標楷體"/>
      <w:bCs/>
      <w:kern w:val="3"/>
      <w:sz w:val="32"/>
      <w:szCs w:val="36"/>
    </w:rPr>
  </w:style>
  <w:style w:type="character" w:customStyle="1" w:styleId="80">
    <w:name w:val="標題 8 字元"/>
    <w:rPr>
      <w:rFonts w:ascii="標楷體" w:eastAsia="標楷體" w:hAnsi="標楷體"/>
      <w:kern w:val="3"/>
      <w:sz w:val="32"/>
      <w:szCs w:val="36"/>
    </w:rPr>
  </w:style>
  <w:style w:type="paragraph" w:styleId="Web">
    <w:name w:val="Normal (Web)"/>
    <w:basedOn w:val="a"/>
    <w:pPr>
      <w:widowControl/>
      <w:spacing w:before="100" w:after="100"/>
    </w:pPr>
    <w:rPr>
      <w:kern w:val="0"/>
    </w:rPr>
  </w:style>
  <w:style w:type="paragraph" w:styleId="a8">
    <w:name w:val="Salutation"/>
    <w:basedOn w:val="a"/>
    <w:next w:val="a"/>
  </w:style>
  <w:style w:type="character" w:customStyle="1" w:styleId="a9">
    <w:name w:val="問候 字元"/>
    <w:rPr>
      <w:kern w:val="3"/>
      <w:sz w:val="24"/>
      <w:szCs w:val="24"/>
    </w:rPr>
  </w:style>
  <w:style w:type="paragraph" w:styleId="aa">
    <w:name w:val="Closing"/>
    <w:basedOn w:val="a"/>
    <w:pPr>
      <w:ind w:left="100"/>
    </w:pPr>
  </w:style>
  <w:style w:type="character" w:customStyle="1" w:styleId="ab">
    <w:name w:val="結語 字元"/>
    <w:rPr>
      <w:kern w:val="3"/>
      <w:sz w:val="24"/>
      <w:szCs w:val="24"/>
    </w:rPr>
  </w:style>
  <w:style w:type="character" w:customStyle="1" w:styleId="HTML0">
    <w:name w:val="HTML 預設格式 字元"/>
    <w:rPr>
      <w:rFonts w:ascii="細明體" w:eastAsia="細明體" w:hAnsi="細明體" w:cs="細明體"/>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numbering" w:customStyle="1" w:styleId="WWOutlineListStyle7">
    <w:name w:val="WW_OutlineListStyle_7"/>
    <w:basedOn w:val="a2"/>
    <w:pPr>
      <w:numPr>
        <w:numId w:val="2"/>
      </w:numPr>
    </w:pPr>
  </w:style>
  <w:style w:type="numbering" w:customStyle="1" w:styleId="WWOutlineListStyle6">
    <w:name w:val="WW_OutlineListStyle_6"/>
    <w:basedOn w:val="a2"/>
    <w:pPr>
      <w:numPr>
        <w:numId w:val="3"/>
      </w:numPr>
    </w:pPr>
  </w:style>
  <w:style w:type="numbering" w:customStyle="1" w:styleId="WWOutlineListStyle5">
    <w:name w:val="WW_OutlineListStyle_5"/>
    <w:basedOn w:val="a2"/>
    <w:pPr>
      <w:numPr>
        <w:numId w:val="4"/>
      </w:numPr>
    </w:pPr>
  </w:style>
  <w:style w:type="numbering" w:customStyle="1" w:styleId="WWOutlineListStyle4">
    <w:name w:val="WW_OutlineListStyle_4"/>
    <w:basedOn w:val="a2"/>
    <w:pPr>
      <w:numPr>
        <w:numId w:val="5"/>
      </w:numPr>
    </w:pPr>
  </w:style>
  <w:style w:type="numbering" w:customStyle="1" w:styleId="WWOutlineListStyle3">
    <w:name w:val="WW_OutlineListStyle_3"/>
    <w:basedOn w:val="a2"/>
    <w:pPr>
      <w:numPr>
        <w:numId w:val="6"/>
      </w:numPr>
    </w:pPr>
  </w:style>
  <w:style w:type="numbering" w:customStyle="1" w:styleId="WWOutlineListStyle2">
    <w:name w:val="WW_OutlineListStyle_2"/>
    <w:basedOn w:val="a2"/>
    <w:pPr>
      <w:numPr>
        <w:numId w:val="7"/>
      </w:numPr>
    </w:pPr>
  </w:style>
  <w:style w:type="numbering" w:customStyle="1" w:styleId="WWOutlineListStyle1">
    <w:name w:val="WW_OutlineListStyle_1"/>
    <w:basedOn w:val="a2"/>
    <w:pPr>
      <w:numPr>
        <w:numId w:val="8"/>
      </w:numPr>
    </w:pPr>
  </w:style>
  <w:style w:type="numbering" w:customStyle="1" w:styleId="WWOutlineListStyle">
    <w:name w:val="WW_OutlineListStyle"/>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tpp</dc:creator>
  <cp:lastModifiedBy>Windows 使用者</cp:lastModifiedBy>
  <cp:revision>5</cp:revision>
  <cp:lastPrinted>2022-03-02T04:02:00Z</cp:lastPrinted>
  <dcterms:created xsi:type="dcterms:W3CDTF">2022-03-02T03:32:00Z</dcterms:created>
  <dcterms:modified xsi:type="dcterms:W3CDTF">2022-03-02T04:24:00Z</dcterms:modified>
</cp:coreProperties>
</file>